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造价材料审计报告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项目名称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明月江南幼儿园局部改造工程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项目编号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项目类型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建筑工程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项目地点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滨江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业主单位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承包单位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工程造价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未设置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基期信息价日期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2023年06月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合同工期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2023年07月 至 2023年08月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基期信息价地区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浙江省 杭州市 滨江区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是否支持调价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是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调价范围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5.0%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分析范围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价格合理性分析、材料匹配度检查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创建时间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2025-12-12 07:56:10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创建人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系统管理员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Hei" w:hAnsi="SimHei" w:eastAsia="SimHei"/>
                <w:b w:val="0"/>
                <w:sz w:val="21"/>
              </w:rPr>
              <w:t>报告日期</w:t>
            </w:r>
          </w:p>
        </w:tc>
        <w:tc>
          <w:tcPr>
            <w:tcW w:type="dxa" w:w="4703"/>
            <w:vAlign w:val="center"/>
          </w:tcPr>
          <w:p>
            <w:pPr>
              <w:spacing w:line="360" w:lineRule="exact" w:after="40" w:before="40"/>
            </w:pPr>
            <w:r>
              <w:rPr>
                <w:rFonts w:ascii="SimSun" w:hAnsi="SimSun" w:eastAsia="SimSun"/>
                <w:sz w:val="21"/>
              </w:rPr>
              <w:t>2025年12月23日</w:t>
            </w:r>
          </w:p>
        </w:tc>
      </w:tr>
    </w:tbl>
    <w:p/>
    <w:p>
      <w:r>
        <w:rPr>
          <w:rFonts w:ascii="SimHei" w:hAnsi="SimHei" w:eastAsia="SimHei"/>
          <w:b/>
        </w:rPr>
        <w:t>项目描述：</w:t>
      </w:r>
    </w:p>
    <w:p>
      <w:r>
        <w:rPr>
          <w:rFonts w:ascii="SimSun" w:hAnsi="SimSun" w:eastAsia="SimSun"/>
        </w:rPr>
        <w:t>合同工期：2023年07月至2023年08月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SimHei" w:hAnsi="SimHei" w:eastAsia="SimHei"/>
          <w:b/>
          <w:sz w:val="22"/>
        </w:rPr>
        <w:t>总体结论：</w:t>
      </w:r>
      <w:r>
        <w:t xml:space="preserve"> 本次对项目共审查 79 项材料，其中 76 项完成价格分析，分析覆盖率 96.2%。检测到 35 项存在风险，问题发现率 44.3%，其中 35 项价格被判定为不合理。</w:t>
      </w:r>
    </w:p>
    <w:p>
      <w:r>
        <w:rPr>
          <w:b/>
        </w:rPr>
        <w:t>关键指标：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平均价格偏差</w:t>
              <w:br/>
              <w:t>18.29%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预估节约金额</w:t>
              <w:br/>
              <w:t>17166.90 元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送审总额（无信息价）</w:t>
              <w:br/>
              <w:t>423,433.42 元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AI核审总额（无信息价）</w:t>
              <w:br/>
              <w:t>363,606.55 元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送审总额（市场信息价）</w:t>
              <w:br/>
              <w:t>13,995.31 元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sz w:val="18"/>
              </w:rPr>
              <w:t>AI核审总额（市场信息价）</w:t>
              <w:br/>
              <w:t>12,802.89 元</w:t>
            </w:r>
          </w:p>
        </w:tc>
      </w:tr>
    </w:tbl>
    <w:p/>
    <w:p>
      <w:r>
        <w:rPr>
          <w:b/>
        </w:rPr>
        <w:t>重点关注材料（按核增减额排序）：</w:t>
      </w:r>
    </w:p>
    <w:p>
      <w:pPr>
        <w:pStyle w:val="ListBullet"/>
      </w:pPr>
      <w:r>
        <w:t>EPDM颗粒塑胶地面：核增减额 -80,653.04 元</w:t>
      </w:r>
    </w:p>
    <w:p>
      <w:pPr>
        <w:pStyle w:val="ListBullet"/>
      </w:pPr>
      <w:r>
        <w:t>种植土：核增减额 +15,306.05 元</w:t>
      </w:r>
    </w:p>
    <w:p>
      <w:pPr>
        <w:pStyle w:val="ListBullet"/>
      </w:pPr>
      <w:r>
        <w:t>水洗豆石：核增减额 -9,331.63 元</w:t>
      </w:r>
    </w:p>
    <w:p>
      <w:pPr>
        <w:pStyle w:val="ListBullet"/>
      </w:pPr>
      <w:r>
        <w:t>铺设人工草坪：核增减额 +7,951.36 元</w:t>
      </w:r>
    </w:p>
    <w:p>
      <w:pPr>
        <w:pStyle w:val="ListBullet"/>
      </w:pPr>
      <w:r>
        <w:t>成品智能闸机：核增减额 +7,709.81 元</w:t>
      </w:r>
    </w:p>
    <w:p>
      <w:r>
        <w:t>建议优先对高风险及金额差异较大的材料进行复核和询价，必要时补充市场调查或合同条款校验，确保成本控制在合理范围。</w:t>
      </w:r>
    </w:p>
    <w:p>
      <w:r>
        <w:br w:type="page"/>
      </w:r>
    </w:p>
    <w:p>
      <w:pPr>
        <w:pStyle w:val="Heading1"/>
      </w:pPr>
      <w:r>
        <w:t>项目概况</w:t>
      </w:r>
    </w:p>
    <w:p>
      <w:pPr>
        <w:pStyle w:val="Heading2"/>
      </w:pPr>
      <w:r>
        <w:t>基本信息</w:t>
      </w:r>
    </w:p>
    <w:p>
      <w:r>
        <w:t>项目名称：明月江南幼儿园局部改造工程</w:t>
        <w:br/>
        <w:t>项目编号：未提供</w:t>
        <w:br/>
        <w:t>项目地点：滨江</w:t>
        <w:br/>
        <w:t>业主单位：未提供</w:t>
        <w:br/>
        <w:t>承包单位：未提供</w:t>
        <w:br/>
        <w:t>项目状态：draft</w:t>
        <w:br/>
        <w:t>创建时间：2025年12月12日</w:t>
      </w:r>
    </w:p>
    <w:p>
      <w:pPr>
        <w:pStyle w:val="Heading2"/>
      </w:pPr>
      <w:r>
        <w:t>材料统计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材料总数</w:t>
            </w:r>
          </w:p>
        </w:tc>
        <w:tc>
          <w:tcPr>
            <w:tcW w:type="dxa" w:w="4703"/>
          </w:tcPr>
          <w:p>
            <w:r>
              <w:t>79项</w:t>
            </w:r>
          </w:p>
        </w:tc>
      </w:tr>
      <w:tr>
        <w:tc>
          <w:tcPr>
            <w:tcW w:type="dxa" w:w="4703"/>
          </w:tcPr>
          <w:p>
            <w:r>
              <w:t>已分析材料</w:t>
            </w:r>
          </w:p>
        </w:tc>
        <w:tc>
          <w:tcPr>
            <w:tcW w:type="dxa" w:w="4703"/>
          </w:tcPr>
          <w:p>
            <w:r>
              <w:t>76项</w:t>
            </w:r>
          </w:p>
        </w:tc>
      </w:tr>
      <w:tr>
        <w:tc>
          <w:tcPr>
            <w:tcW w:type="dxa" w:w="4703"/>
          </w:tcPr>
          <w:p>
            <w:r>
              <w:t>问题材料</w:t>
            </w:r>
          </w:p>
        </w:tc>
        <w:tc>
          <w:tcPr>
            <w:tcW w:type="dxa" w:w="4703"/>
          </w:tcPr>
          <w:p>
            <w:r>
              <w:t>35项</w:t>
            </w:r>
          </w:p>
        </w:tc>
      </w:tr>
      <w:tr>
        <w:tc>
          <w:tcPr>
            <w:tcW w:type="dxa" w:w="4703"/>
          </w:tcPr>
          <w:p>
            <w:r>
              <w:t>分析覆盖率</w:t>
            </w:r>
          </w:p>
        </w:tc>
        <w:tc>
          <w:tcPr>
            <w:tcW w:type="dxa" w:w="4703"/>
          </w:tcPr>
          <w:p>
            <w:r>
              <w:t>96.2%</w:t>
            </w:r>
          </w:p>
        </w:tc>
      </w:tr>
      <w:tr>
        <w:tc>
          <w:tcPr>
            <w:tcW w:type="dxa" w:w="4703"/>
          </w:tcPr>
          <w:p>
            <w:r>
              <w:t>问题发现率</w:t>
            </w:r>
          </w:p>
        </w:tc>
        <w:tc>
          <w:tcPr>
            <w:tcW w:type="dxa" w:w="4703"/>
          </w:tcPr>
          <w:p>
            <w:r>
              <w:t>44.3%</w:t>
            </w:r>
          </w:p>
        </w:tc>
      </w:tr>
    </w:tbl>
    <w:p>
      <w:pPr>
        <w:pStyle w:val="Heading1"/>
      </w:pPr>
      <w:r>
        <w:t>分析方法与数据来源</w:t>
      </w:r>
    </w:p>
    <w:p>
      <w:r>
        <w:rPr>
          <w:b/>
        </w:rPr>
        <w:t>分析流程：</w:t>
      </w:r>
      <w:r>
        <w:t xml:space="preserve"> 1) 基于项目材料清单提取无信息价材料与匹配的市场信息价材料； 2) 对无信息价材料调用 AI 价格分析模型，生成推荐单价区间及合理性判断； 3) 对市场信息价材料按照区县→市→省三级层次匹配最新信息价； 4) 比对送审价格与 AI/市场价格，形成核增减额、风险等级和建议。</w:t>
      </w:r>
    </w:p>
    <w:p>
      <w:r>
        <w:rPr>
          <w:b/>
        </w:rPr>
        <w:t>数据来源：</w:t>
      </w:r>
      <w:r>
        <w:t xml:space="preserve"> 项目材料数据来自系统上传的清单；信息价数据引用平台最新刊期； AI 模型训练及单位换算遵循系统既定规则，自动记录分析时间与参数。</w:t>
      </w:r>
    </w:p>
    <w:p>
      <w:r>
        <w:rPr>
          <w:b/>
        </w:rPr>
        <w:t>校验说明：</w:t>
      </w:r>
      <w:r>
        <w:t xml:space="preserve"> 报告生成时自动校验计量单位、数量、价格区间，若存在缺失或异常数据，将在问题材料章节提示人工复核。</w:t>
      </w:r>
    </w:p>
    <w:p/>
    <w:p>
      <w:pPr>
        <w:pStyle w:val="Heading1"/>
      </w:pPr>
      <w:r>
        <w:t>分析结果</w:t>
      </w:r>
    </w:p>
    <w:p>
      <w:r>
        <w:t>本节汇总无信息价材料与市场信息价材料的价格对比情况，并列出存在较大差异或风险的材料明细。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类别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送审总额（元）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AI核审总额（元）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核增减额（元）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无信息价材料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423,433.42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363,606.55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-59,826.86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市场信息价材料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13,995.31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12,802.89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8"/>
              </w:rPr>
              <w:t>-63.59</w:t>
            </w:r>
          </w:p>
        </w:tc>
      </w:tr>
    </w:tbl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5307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4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47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ectPr>
          <w:headerReference w:type="default" r:id="rId9"/>
          <w:footerReference w:type="default" r:id="rId10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2"/>
        <w:jc w:val="center"/>
      </w:pPr>
      <w:r>
        <w:rPr>
          <w:rFonts w:ascii="SimHei" w:hAnsi="SimHei"/>
          <w:b/>
          <w:sz w:val="28"/>
        </w:rPr>
        <w:t>表1 材料价格分析表（无信息价材料）</w:t>
      </w:r>
    </w:p>
    <w:p>
      <w:pPr>
        <w:tabs>
          <w:tab w:pos="14173" w:val="right"/>
        </w:tabs>
      </w:pPr>
      <w:r>
        <w:rPr>
          <w:rFonts w:ascii="SimSun" w:hAnsi="SimSun"/>
          <w:b/>
          <w:sz w:val="20"/>
        </w:rPr>
        <w:t>项目名称：</w:t>
      </w:r>
      <w:r>
        <w:rPr>
          <w:rFonts w:ascii="SimSun" w:hAnsi="SimSun"/>
          <w:sz w:val="20"/>
        </w:rPr>
        <w:t>明月江南幼儿园局部改造工程</w:t>
      </w:r>
      <w:r>
        <w:rPr>
          <w:rFonts w:ascii="SimSun" w:hAnsi="SimSun"/>
          <w:b/>
          <w:sz w:val="20"/>
        </w:rPr>
        <w:tab/>
        <w:t>单位：元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56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序号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材料名称</w:t>
            </w:r>
          </w:p>
        </w:tc>
        <w:tc>
          <w:tcPr>
            <w:tcW w:type="dxa" w:w="141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规格型号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单位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数量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送审结算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AI 辅助审核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核增（减）额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权重（%）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141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单价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合价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单价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合价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850"/>
            <w:vMerge/>
          </w:tcPr>
          <w:p/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EPDM颗粒塑胶地面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819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172,046.70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111.55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91,393.66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-80,653.04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29.79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中厚钢板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综合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3,923.00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45,617.41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4,133.38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48,063.74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+2,446.34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7.90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不锈钢板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2厚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140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244.55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34,259.25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214.75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30,085.24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-4,174.01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5.93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型钢(幕墙用)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4,687.00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22,352.28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4,218.30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20,117.05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-2,235.23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3.87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成品智能闸机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台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16,300.00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16,300.00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24,009.81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24,009.81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+7,709.81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2.82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水洗豆石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φ3-5mm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kg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18,478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15,891.48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0.35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6,559.86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-9,331.63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2.75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地毯草,高5-10cm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13.76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12,796.41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6.84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6,361.01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-6,435.40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2.22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聚合物水泥基复合防水涂料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JS Ⅰ型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kg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1,233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8.79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10,837.21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7.59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9,355.60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-1,481.61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1.88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30厚芝麻灰花岗岩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118.00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10,112.65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207.53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17,785.83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+7,673.19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1.75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橡胶板楼地面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9,109.80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102.86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4,462.28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-4,647.52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1.58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8厚*50不锈钢嵌条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121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7,262.88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22.66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2,742.34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-4,520.54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1.26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20厚菠萝格防腐木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6,820.80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261.18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11,133.89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+4,313.09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1.18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6+6夹胶钢化玻璃,贴彩色防爆膜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203.00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6,735.68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307.64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10,207.71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+3,472.03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1.17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铺设人工草坪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6,086.00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46.13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14,037.36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+7,951.36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1.05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红枫树，冠径3.8m,株高5.6m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株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5,500.00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5,555.00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4,276.47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4,319.23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-1,235.77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0.96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PPR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DN50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24.90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5,054.70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20.06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4,073.19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-981.51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0.88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25厚菠萝格防腐木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175.00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4,462.94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280.57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7,155.36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+2,692.43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0.77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镀锌方钢管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50*50*5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4,507.00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3,377.64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4,056.30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3,039.87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-337.76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0.58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樱花树，胸径16cm，冠径4.0m,株高3.6m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株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3,200.00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3,232.00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886.40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895.26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-2,336.74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0.56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种植土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3,073.19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119.61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18,379.24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+15,306.05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0.53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150*300*900芝麻白侧石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69.90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3,050.58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86.98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3,796.21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+745.63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0.53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瓷砖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150×220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2,850.70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117.86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5,599.95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+2,749.26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0.49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仿木铝纹格栅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20*80*1.0mm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195.00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2,459.91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117.46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1,481.75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-978.16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0.43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20厚菠萝格防腐木地板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2,432.64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337.22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5,127.02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+2,694.38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0.42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复合井盖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300*600*30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2,408.85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277.50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4,456.37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+2,047.52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0.42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芝麻灰花岗岩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8cm厚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2,754.00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1,947.08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2,125.77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1,502.92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-444.16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0.34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水泵：流量：160L/min，扬程：7.5m，300W，安装调试及所需配件等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台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1,600.00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1,600.00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548.38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548.38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-1,051.62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0.28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6+6钢化夹胶玻璃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173.00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1,256.07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212.46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1,542.57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+286.50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0.22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12厚防水纸面石膏板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21.68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1,060.33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24.07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1,177.47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+117.14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0.18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芝麻灰花岗岩5cm厚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163.00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1,033.67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221.52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1,404.78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+371.11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0.18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樱桃树，胸径15cm，冠径2.0m，株高2.3m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株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310.00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939.30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497.80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1,508.32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+569.02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0.16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卵石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φ30-50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156.32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443.90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96.52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274.09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-169.81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0.08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镀锌钢管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综合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3,687.00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379.96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3,318.30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341.96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-38.00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0.07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钢板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2厚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75.55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334.03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107.79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476.60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+142.57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0.06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卵石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φ30-60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156.32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170.40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85.00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92.66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-77.74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0.03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热镀锌方钢管龙骨(@400)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内部40*40*4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t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4,687.00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81.98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5,600.00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97.94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+15.97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0.01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合计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423,433.42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363,606.55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-59,826.86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73.31</w:t>
            </w:r>
          </w:p>
        </w:tc>
      </w:tr>
    </w:tbl>
    <w:p>
      <w:r>
        <w:rPr>
          <w:rFonts w:ascii="SimSun" w:hAnsi="SimSun"/>
          <w:sz w:val="16"/>
        </w:rPr>
        <w:t>备注：（1）本表可扩展；（2）差额为正值即核增，负值即核减；（3）本表可作为过程资料一并归档。</w:t>
      </w:r>
    </w:p>
    <w:p/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  <w:jc w:val="center"/>
      </w:pPr>
      <w:r>
        <w:rPr>
          <w:rFonts w:ascii="SimHei" w:hAnsi="SimHei"/>
          <w:b/>
          <w:sz w:val="28"/>
        </w:rPr>
        <w:t>表2 材料价格分析表（市场信息价材料）</w:t>
      </w:r>
    </w:p>
    <w:p>
      <w:pPr>
        <w:tabs>
          <w:tab w:pos="14173" w:val="right"/>
        </w:tabs>
      </w:pPr>
      <w:r>
        <w:rPr>
          <w:rFonts w:ascii="SimSun" w:hAnsi="SimSun"/>
          <w:b/>
          <w:sz w:val="20"/>
        </w:rPr>
        <w:t>项目名称：</w:t>
      </w:r>
      <w:r>
        <w:rPr>
          <w:rFonts w:ascii="SimSun" w:hAnsi="SimSun"/>
          <w:sz w:val="20"/>
        </w:rPr>
        <w:t>明月江南幼儿园局部改造工程</w:t>
      </w:r>
      <w:r>
        <w:rPr>
          <w:rFonts w:ascii="SimSun" w:hAnsi="SimSun"/>
          <w:b/>
          <w:sz w:val="20"/>
        </w:rPr>
        <w:tab/>
        <w:t>单位：元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序号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材料名称</w:t>
            </w:r>
          </w:p>
        </w:tc>
        <w:tc>
          <w:tcPr>
            <w:tcW w:type="dxa" w:w="141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规格型号</w:t>
            </w:r>
          </w:p>
        </w:tc>
        <w:tc>
          <w:tcPr>
            <w:tcW w:type="dxa" w:w="567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单位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数量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送审结算</w:t>
            </w:r>
          </w:p>
        </w:tc>
        <w:tc>
          <w:tcPr>
            <w:tcW w:type="dxa" w:w="4080"/>
            <w:gridSpan w:val="4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市场信息价结算</w:t>
            </w:r>
          </w:p>
        </w:tc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调差</w:t>
            </w:r>
          </w:p>
        </w:tc>
        <w:tc>
          <w:tcPr>
            <w:tcW w:type="dxa" w:w="850"/>
            <w:vMerge w:val="restart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权重（%）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701"/>
            <w:vMerge/>
          </w:tcPr>
          <w:p/>
        </w:tc>
        <w:tc>
          <w:tcPr>
            <w:tcW w:type="dxa" w:w="1417"/>
            <w:vMerge/>
          </w:tcPr>
          <w:p/>
        </w:tc>
        <w:tc>
          <w:tcPr>
            <w:tcW w:type="dxa" w:w="567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单价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合价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基期信息价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价格差异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合同期平均价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SimHei" w:hAnsi="SimHei"/>
                <w:b/>
                <w:sz w:val="16"/>
              </w:rPr>
              <w:t>风险幅度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850"/>
            <w:vMerge/>
          </w:tcPr>
          <w:p/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非泵送商品混凝土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C25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m3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21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484.0000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10,064.74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476.0000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+8.0000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452.0000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-5.04%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-4.16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2.46</w:t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2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白色硅酸盐水泥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425#、二级白度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kg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7,925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0.4960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3,930.58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0.4600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+0.0360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0.4295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-6.63%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-59.43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sz w:val="16"/>
              </w:rPr>
              <w:t>0.96</w:t>
            </w:r>
          </w:p>
        </w:tc>
      </w:tr>
      <w:tr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合计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13,995.31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12,802.89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-63.59</w:t>
            </w:r>
          </w:p>
        </w:tc>
        <w:tc>
          <w:tcPr>
            <w:tcW w:type="dxa" w:w="1164"/>
            <w:vAlign w:val="center"/>
          </w:tcPr>
          <w:p>
            <w:pPr>
              <w:jc w:val="center"/>
            </w:pPr>
            <w:r>
              <w:rPr>
                <w:rFonts w:ascii="SimSun" w:hAnsi="SimSun"/>
                <w:b/>
                <w:sz w:val="16"/>
              </w:rPr>
              <w:t>3.42</w:t>
            </w:r>
          </w:p>
        </w:tc>
      </w:tr>
    </w:tbl>
    <w:p>
      <w:r>
        <w:rPr>
          <w:rFonts w:ascii="SimSun" w:hAnsi="SimSun"/>
          <w:sz w:val="16"/>
        </w:rPr>
        <w:t>备注：（1）本表可扩展；（2）差额为正值即核增，负值即核减；（3）本表可纳入审价过程资料一并归档。</w:t>
      </w:r>
    </w:p>
    <w:p/>
    <w:p>
      <w:pPr>
        <w:pStyle w:val="Heading2"/>
      </w:pPr>
      <w:r>
        <w:t>风险等级分布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风险等级</w:t>
            </w:r>
          </w:p>
        </w:tc>
        <w:tc>
          <w:tcPr>
            <w:tcW w:type="dxa" w:w="7569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材料数量</w:t>
            </w:r>
          </w:p>
        </w:tc>
      </w:tr>
      <w:tr>
        <w:tc>
          <w:tcPr>
            <w:tcW w:type="dxa" w:w="7569"/>
          </w:tcPr>
          <w:p>
            <w:r>
              <w:t>正常</w:t>
            </w:r>
          </w:p>
        </w:tc>
        <w:tc>
          <w:tcPr>
            <w:tcW w:type="dxa" w:w="7569"/>
          </w:tcPr>
          <w:p>
            <w:r>
              <w:t>41项</w:t>
            </w:r>
          </w:p>
        </w:tc>
      </w:tr>
      <w:tr>
        <w:tc>
          <w:tcPr>
            <w:tcW w:type="dxa" w:w="7569"/>
          </w:tcPr>
          <w:p>
            <w:r>
              <w:t>低风险</w:t>
            </w:r>
          </w:p>
        </w:tc>
        <w:tc>
          <w:tcPr>
            <w:tcW w:type="dxa" w:w="7569"/>
          </w:tcPr>
          <w:p>
            <w:r>
              <w:t>12项</w:t>
            </w:r>
          </w:p>
        </w:tc>
      </w:tr>
      <w:tr>
        <w:tc>
          <w:tcPr>
            <w:tcW w:type="dxa" w:w="7569"/>
          </w:tcPr>
          <w:p>
            <w:r>
              <w:t>极高风险</w:t>
            </w:r>
          </w:p>
        </w:tc>
        <w:tc>
          <w:tcPr>
            <w:tcW w:type="dxa" w:w="7569"/>
          </w:tcPr>
          <w:p>
            <w:r>
              <w:t>10项</w:t>
            </w:r>
          </w:p>
        </w:tc>
      </w:tr>
      <w:tr>
        <w:tc>
          <w:tcPr>
            <w:tcW w:type="dxa" w:w="7569"/>
          </w:tcPr>
          <w:p>
            <w:r>
              <w:t>中风险</w:t>
            </w:r>
          </w:p>
        </w:tc>
        <w:tc>
          <w:tcPr>
            <w:tcW w:type="dxa" w:w="7569"/>
          </w:tcPr>
          <w:p>
            <w:r>
              <w:t>6项</w:t>
            </w:r>
          </w:p>
        </w:tc>
      </w:tr>
      <w:tr>
        <w:tc>
          <w:tcPr>
            <w:tcW w:type="dxa" w:w="7569"/>
          </w:tcPr>
          <w:p>
            <w:r>
              <w:t>高风险</w:t>
            </w:r>
          </w:p>
        </w:tc>
        <w:tc>
          <w:tcPr>
            <w:tcW w:type="dxa" w:w="7569"/>
          </w:tcPr>
          <w:p>
            <w:r>
              <w:t>7项</w:t>
            </w:r>
          </w:p>
        </w:tc>
      </w:tr>
    </w:tbl>
    <w:p>
      <w:pPr>
        <w:pStyle w:val="Heading2"/>
      </w:pPr>
      <w:r>
        <w:t>价格分析汇总</w:t>
      </w:r>
    </w:p>
    <w:p>
      <w:r>
        <w:t>• 平均价格偏差：18.29%</w:t>
        <w:br/>
        <w:t>• 不合理价格材料：35项</w:t>
        <w:br/>
        <w:t>• 预估节约金额：17166.90元</w:t>
      </w:r>
    </w:p>
    <w:p>
      <w:pPr>
        <w:pStyle w:val="Heading1"/>
      </w:pPr>
      <w:r>
        <w:t>建议措施</w:t>
      </w:r>
    </w:p>
    <w:p>
      <w:r>
        <w:t>1. 发现较多价格异常材料，建议加强供应商管理和价格监控。</w:t>
      </w:r>
    </w:p>
    <w:p>
      <w:r>
        <w:t>2. 预估可节约成本17166.90元，建议优化采购策略。</w:t>
      </w:r>
    </w:p>
    <w:p>
      <w:r>
        <w:t>3. 定期更新基准材料价格数据库，确保价格信息的时效性。</w:t>
      </w:r>
    </w:p>
    <w:p>
      <w:r>
        <w:t>4. 建立材料价格预警机制，及时发现价格异常。</w:t>
      </w:r>
    </w:p>
    <w:p>
      <w:r>
        <w:t>5. 加强与供应商的沟通，了解价格变动原因。</w:t>
      </w:r>
    </w:p>
    <w:p>
      <w:r>
        <w:t>6. 对高风险材料进行重点监控和审核。</w:t>
      </w:r>
    </w:p>
    <w:p>
      <w:pPr>
        <w:pStyle w:val="Heading1"/>
      </w:pPr>
      <w:r>
        <w:t>附录</w:t>
      </w:r>
    </w:p>
    <w:p>
      <w:pPr>
        <w:pStyle w:val="Heading2"/>
      </w:pPr>
      <w:r>
        <w:t>附录A：技术说明</w:t>
      </w:r>
    </w:p>
    <w:p>
      <w:r>
        <w:t>本报告使用人工智能技术进行材料价格分析，主要技术特点如下：</w:t>
        <w:br/>
        <w:br/>
        <w:t>1. 多AI服务集成：支持deepseek、通义千问、豆包多个AI服务。</w:t>
        <w:br/>
        <w:t>2. 智能匹配算法：基于材料名称、规格、单位等多维度进行相似度计算。</w:t>
        <w:br/>
        <w:t>3. 价格合理性分析：结合统计学方法和AI预测进行综合判断。</w:t>
        <w:br/>
        <w:t>4. 故障转移机制：确保分析服务的高可用性。</w:t>
        <w:br/>
        <w:br/>
        <w:t>分析结果仅供参考，最终决策请结合实际情况和专业判断。</w:t>
      </w:r>
    </w:p>
    <w:p>
      <w:pPr>
        <w:pStyle w:val="Heading2"/>
      </w:pPr>
      <w:r>
        <w:t>附录B：详细统计</w:t>
      </w:r>
    </w:p>
    <w:p>
      <w:r>
        <w:t>AI服务使用统计：</w:t>
      </w:r>
    </w:p>
    <w:p>
      <w:r>
        <w:t>• guided_price_comparison: 31次</w:t>
      </w:r>
    </w:p>
    <w:p>
      <w:r>
        <w:t>• DeepSeek: 45次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</w:rPr>
      <w:t>保密文件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Hei" w:hAnsi="SimHei" w:eastAsia="SimHei"/>
      </w:rPr>
      <w:t>造价材料审计报告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</w:pPr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