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Spatial Transcriptomics Analysis Report (Visium – Changting Xiao Project)</w:t>
      </w:r>
    </w:p>
    <w:p>
      <w:r>
        <w:t>This report summarizes the completed spatial transcriptomics analyses for the Visium dataset associated with the Tirzepatide (TZP) gut study. The work focused on refining figure labels, improving publication-quality visualizations, and generating biologically relevant supplementary plots, without introducing new statistical analyses, in accordance with guidance from Dr. Changting Xiao and Dr. Ying Wang.</w:t>
      </w:r>
    </w:p>
    <w:p>
      <w:pPr>
        <w:pStyle w:val="Heading2"/>
      </w:pPr>
      <w:r>
        <w:t>1. Data Scope and Conditions</w:t>
      </w:r>
    </w:p>
    <w:p>
      <w:r>
        <w:t>The analysis was conducted on Visium spatial transcriptomics data with the following experimental conditions:</w:t>
        <w:br/>
        <w:t>- CD/PBS</w:t>
        <w:br/>
        <w:t>- HFD/PBS</w:t>
        <w:br/>
        <w:t>- HFD/TZP</w:t>
        <w:br/>
        <w:br/>
        <w:t>No CD/TZP samples were present in this dataset. All labels were standardized to use a consistent format (e.g., HFD/TZP vs HFD/PBS) across figures and results.</w:t>
      </w:r>
    </w:p>
    <w:p>
      <w:pPr>
        <w:pStyle w:val="Heading2"/>
      </w:pPr>
      <w:r>
        <w:t>2. UMAP Visualization</w:t>
      </w:r>
    </w:p>
    <w:p>
      <w:r>
        <w:t>A publication-quality UMAP plot was regenerated to visualize global transcriptional structure by condition. Axes were explicitly labeled as UMAP_1 and UMAP_2, and point size and resolution were optimized for journal standards. The final UMAP shows substantial overlap between conditions, indicating that treatment effects occur within shared cellular states rather than through large-scale shifts in cellular composition.</w:t>
      </w:r>
    </w:p>
    <w:p>
      <w:pPr>
        <w:pStyle w:val="Heading2"/>
      </w:pPr>
      <w:r>
        <w:t>3. Differential Expression and Volcano Plots</w:t>
      </w:r>
    </w:p>
    <w:p>
      <w:r>
        <w:t>Differential expression analyses were evaluated for:</w:t>
        <w:br/>
        <w:t>- Epithelial cells: HFD/TZP vs HFD/PBS</w:t>
        <w:br/>
        <w:t>- Smooth muscle cells (SMC): HFD/TZP vs HFD/PBS</w:t>
        <w:br/>
        <w:br/>
        <w:t>Publication-style volcano plots were generated using distinct colors for upregulated and downregulated genes, with top-ranked genes labeled for interpretability. These plots highlight strong transcriptional suppression in epithelial cells under TZP treatment, whereas SMCs exhibit fewer but biologically relevant changes.</w:t>
      </w:r>
    </w:p>
    <w:p>
      <w:pPr>
        <w:pStyle w:val="Heading2"/>
      </w:pPr>
      <w:r>
        <w:t>4. GO Biological Process Enrichment</w:t>
      </w:r>
    </w:p>
    <w:p>
      <w:r>
        <w:t>GO enrichment analyses were performed separately for epithelial and SMC DEGs. Bar plots were regenerated using the same structure as previous versions, with only label corrections applied. Grid lines and unnecessary borders were removed while preserving axis lines, consistent with publication standards.</w:t>
        <w:br/>
        <w:br/>
        <w:t>Key observations include:</w:t>
        <w:br/>
        <w:t>- Epithelial cells: strong enrichment for ribonucleoprotein complex biogenesis, ribosome biogenesis, RNA processing, and splicing-related processes, suggesting global suppression of transcriptional and translational machinery under TZP.</w:t>
        <w:br/>
        <w:t>- SMCs: enrichment for extracellular matrix organization, cell–substrate adhesion, and developmental processes, indicating treatment-associated remodeling of structural and vascular functions.</w:t>
      </w:r>
    </w:p>
    <w:p>
      <w:pPr>
        <w:pStyle w:val="Heading2"/>
      </w:pPr>
      <w:r>
        <w:t>5. GO Enrichment Comparison (Epithelial vs SMC)</w:t>
      </w:r>
    </w:p>
    <w:p>
      <w:r>
        <w:t>A combined GO enrichment bar plot was generated to directly compare epithelial and SMC responses to TZP treatment (HFD/TZP vs HFD/PBS). The plot preserves paired bars per GO term, enabling direct comparison of effect strength between cell types. Labeling and aesthetics were aligned with journal-quality requirements.</w:t>
      </w:r>
    </w:p>
    <w:p>
      <w:pPr>
        <w:pStyle w:val="Heading2"/>
      </w:pPr>
      <w:r>
        <w:t>6. Heatmap Analyses</w:t>
      </w:r>
    </w:p>
    <w:p>
      <w:r>
        <w:t>Heatmaps of top differentially expressed genes were generated separately for epithelial cells and SMCs. The epithelial heatmap contains many more columns than the SMC heatmap, reflecting the substantially larger number of epithelial capture spots in the tissue. In contrast, SMCs are spatially restricted and therefore contribute fewer spots.</w:t>
        <w:br/>
        <w:br/>
        <w:t>This difference reflects biological cell-type abundance and spatial localization, not differences in data quality or analytical rigor. All heatmaps were generated using the same normalization and scaling procedures.</w:t>
      </w:r>
    </w:p>
    <w:p>
      <w:pPr>
        <w:pStyle w:val="Heading2"/>
      </w:pPr>
      <w:r>
        <w:t>7. Pseudobulk-Style Expression Summaries</w:t>
      </w:r>
    </w:p>
    <w:p>
      <w:r>
        <w:t>Pseudobulk-style bar plots summarizing average gene expression by condition were generated for epithelial cells using selected DEGs. These plots provide an intuitive visualization of treatment-associated expression shifts and complement the volcano and heatmap analyses. Similar plots for SMCs were evaluated and generated where informative.</w:t>
      </w:r>
    </w:p>
    <w:p>
      <w:pPr>
        <w:pStyle w:val="Heading2"/>
      </w:pPr>
      <w:r>
        <w:t>8. Summary and Readiness for Manuscript Integration</w:t>
      </w:r>
    </w:p>
    <w:p>
      <w:r>
        <w:t>All requested figures have been regenerated or refined with consistent labeling, publication-quality aesthetics, and clear biological interpretation. No new statistical analyses were introduced. The figures are suitable for integration as individual panels in main figures or supplementary materials, as determined by manuscript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