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BarunGothic" w:hAnsi="NanumBarunGothic" w:eastAsia="NanumBarunGothic"/>
          <w:b/>
          <w:color w:val="1F4E79"/>
          <w:sz w:val="42"/>
        </w:rPr>
        <w:t>제6장 JVM(setenv.sh)</w:t>
      </w:r>
    </w:p>
    <w:p>
      <w:pPr>
        <w:jc w:val="center"/>
      </w:pPr>
      <w:r>
        <w:rPr>
          <w:rFonts w:ascii="NanumBarunGothic" w:hAnsi="NanumBarunGothic" w:eastAsia="NanumBarunGothic"/>
          <w:color w:val="5A5A5A"/>
          <w:sz w:val="20"/>
        </w:rPr>
        <w:t>NSIGHT 통합 운영 매뉴얼 - 장 단위 운영 표준서</w:t>
      </w:r>
    </w:p>
    <w:p/>
    <w:p>
      <w:pPr>
        <w:pStyle w:val="Heading1"/>
      </w:pPr>
      <w:r>
        <w:t>1. 도입 전 안내말</w:t>
      </w:r>
    </w:p>
    <w:p>
      <w:r>
        <w:rPr>
          <w:rFonts w:ascii="NanumBarunGothic" w:hAnsi="NanumBarunGothic" w:eastAsia="NanumBarunGothic"/>
          <w:sz w:val="18"/>
        </w:rPr>
        <w:t>본 장은 NSIGHT 정보계 마케팅플랫폼 운영자가 실제 장애 대응, 설정 검토, 성능 점검, 변경관리 시 바로 사용할 수 있도록 작성한 운영 표준서이다. 설정값의 의미, 권장 사유, 장애 시 점검 포인트, 운영 체크리스트를 함께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시스템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농협 상호금융 NSIGHT 정보계 마케팅플랫폼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대상 VM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32Core / 256GB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6,000지점 × 6명 = 36,000명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설계 세션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36,000 × 1.2 = 43,200 세션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피크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동시요청률 10% = 3,600명, p95 3초 기준 1,200 TPS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목표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Busy Thread ≤ 70%, Heap ≤ 70%, Hikari Pool ≤ 70~80%, p95 ≤ 3초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기본 흐름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GSLB → L4 → Apache → Tomcat/Spring Boot → MyBatis/HikariCP → RDW/ADW/SESSIONDB</w:t>
            </w:r>
          </w:p>
        </w:tc>
      </w:tr>
    </w:tbl>
    <w:p/>
    <w:p>
      <w:r>
        <w:rPr>
          <w:rFonts w:ascii="NanumBarunGothic" w:hAnsi="NanumBarunGothic" w:eastAsia="NanumBarunGothic"/>
          <w:sz w:val="18"/>
        </w:rPr>
        <w:t>운영 원칙은 “동작하는 설정”이 아니라 “성능시험으로 검증 가능하고, 장애 시 설명 가능하며, 변경 이력이 남는 설정”을 표준으로 삼는다.</w:t>
      </w:r>
    </w:p>
    <w:p>
      <w:pPr>
        <w:pStyle w:val="Heading1"/>
      </w:pPr>
      <w:r>
        <w:t>2. 핵심 개념 설명</w:t>
      </w:r>
    </w:p>
    <w:p>
      <w:r>
        <w:rPr>
          <w:rFonts w:ascii="NanumBarunGothic" w:hAnsi="NanumBarunGothic" w:eastAsia="NanumBarunGothic"/>
          <w:sz w:val="18"/>
        </w:rPr>
        <w:t>JVM 설정은 Tomcat/Spring Boot 실행 메모리, GC, Thread Stack, Metaspace, Dump, GC Log를 결정한다. 32Core/256GB VM이라도 OS 메모리의 50% 이상을 무조건 Heap으로 사용하는 방식은 비권장이다.</w:t>
      </w:r>
    </w:p>
    <w:p>
      <w:pPr>
        <w:pStyle w:val="Heading1"/>
      </w:pPr>
      <w:r>
        <w:t>3. 표준 구성도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256GB Memory = JVM Heap 32~48GB + Native Memory + Thread Stack + Metaspace + Direct Buffer + APM/Agent + OS Page Cache + 장애 여유</w:t>
            </w:r>
          </w:p>
        </w:tc>
      </w:tr>
    </w:tbl>
    <w:p/>
    <w:p>
      <w:pPr>
        <w:pStyle w:val="Heading1"/>
      </w:pPr>
      <w:r>
        <w:t>4. 운영 기준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기준/설명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Heap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32~48GB, 기본 48GB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대형 Heap은 GC/장애 복구시간 증가 가능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GC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G1GC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Pause 목표 200ms, 운영 안정성 우선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Xss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512k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 수가 많으므로 Stack 메모리 폭증 방지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Metaspace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512m~2g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17개 WAR Class/Framework 로딩 고려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Heap 사용률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70% 이하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초과 지속 시 Leak/Cache/세션 저장 점검</w:t>
            </w:r>
          </w:p>
        </w:tc>
      </w:tr>
    </w:tbl>
    <w:p/>
    <w:p>
      <w:pPr>
        <w:pStyle w:val="Heading1"/>
      </w:pPr>
      <w:r>
        <w:t>5. 설정 예시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#!/bin/sh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# $CATALINA_BASE/bin/setenv.sh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export CATALINA_OPTS="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-Xms48g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-Xmx48g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-Xss512k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-XX:+UseG1GC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-XX:MaxGCPauseMillis=200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-XX:InitiatingHeapOccupancyPercent=35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-XX:MetaspaceSize=512m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-XX:MaxMetaspaceSize=2g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-XX:ReservedCodeCacheSize=512m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-XX:+HeapDumpOnOutOfMemoryError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-XX:HeapDumpPath=/logs/dump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-XX:+ExitOnOutOfMemoryError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-Xlog:gc*:file=/logs/gc/nsight-gc-%t.log:time,uptime,level,tags:filecount=10,filesize=100M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-Dfile.encoding=UTF-8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-Duser.timezone=Asia/Seoul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-Djava.security.egd=file:/dev/./urandom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-Dspring.profiles.active=prd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"</w:t>
            </w:r>
          </w:p>
        </w:tc>
      </w:tr>
    </w:tbl>
    <w:p/>
    <w:p>
      <w:pPr>
        <w:pStyle w:val="Heading1"/>
      </w:pPr>
      <w:r>
        <w:t>6. 설정 항목별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설정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권장값/의미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운영상 주의사항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-Xms/-Xmx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48g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Heap 초기/최대 크기 동일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운영에서는 Heap resize 비용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-Xss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512k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 Stack 크기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maxThreads 증가 시 총 Stack 메모리 증가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G1GC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UseG1GC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대형 Heap에 적합한 기본 선택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Pause와 Throughput 동시 관찰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HeapDump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On OOM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OOM 원인 분석 자료 확보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덤프 저장공간 사전 확보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ExitOnOutOfMemoryError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true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비정상 상태 지속 방지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자동 재기동 정책과 연계</w:t>
            </w:r>
          </w:p>
        </w:tc>
      </w:tr>
    </w:tbl>
    <w:p/>
    <w:p>
      <w:pPr>
        <w:pStyle w:val="Heading1"/>
      </w:pPr>
      <w:r>
        <w:t>7. 점검 명령어 / 확인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jcmd &lt;pid&gt; VM.flags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jcmd &lt;pid&gt; GC.heap_info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jstat -gcutil &lt;pid&gt; 1000 10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tail -f /logs/gc/nsight-gc-*.log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ulimit -a</w:t>
            </w:r>
          </w:p>
        </w:tc>
      </w:tr>
    </w:tbl>
    <w:p/>
    <w:p>
      <w:pPr>
        <w:pStyle w:val="Heading1"/>
      </w:pPr>
      <w:r>
        <w:t>장애 시 점검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1차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2차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조치 기준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응답 지연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Thread/Pool/CPU/GC 사용률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 SQL Time, Lock, Network RTT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70% 초과 지속 시 병목 계층 분리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증가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Apache/L4/Tomcat/Spring/MyBatis Timeout 위치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최근 배포·SQL 변경·DB 상태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발생 계층부터 원인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유실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JSESSIONID, Cookie Path, Sticky, SESSIONDB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DeltaManager/JDBC Session 동작 여부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저장소와 Sticky 정책 불일치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배포 후 오류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WAR 버전, 설정 파일, 프로파일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 Check, 로그, Rollback 대상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이전 Artifact로 복구 후 원인 분석</w:t>
            </w:r>
          </w:p>
        </w:tc>
      </w:tr>
    </w:tbl>
    <w:p/>
    <w:p>
      <w:pPr>
        <w:pStyle w:val="Heading1"/>
      </w:pPr>
      <w:r>
        <w:t>운영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주기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정상 기준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확인 방법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프로세스/포트/Health Check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기동 상태 정상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ps, ss/netstat, curl /actuator/health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Error Log/Timeout/Error Rate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Critical Error 없음, 오류율 1%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APM, 로그, 대시보드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Thread/Heap/Pool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각 사용률 70%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JMX, Actuator, APM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주간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설정 변경 이력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승인된 변경만 반영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Git diff, Change Ticket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월간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기준 재검토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p95 3초, DB SQL 목표 준수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리포트, Slow SQL 목록</w:t>
            </w:r>
          </w:p>
        </w:tc>
      </w:tr>
    </w:tbl>
    <w:p/>
    <w:p>
      <w:pPr>
        <w:pStyle w:val="Heading1"/>
      </w:pPr>
      <w:r>
        <w:t>마무리말</w:t>
      </w:r>
    </w:p>
    <w:p>
      <w:r>
        <w:rPr>
          <w:rFonts w:ascii="NanumBarunGothic" w:hAnsi="NanumBarunGothic" w:eastAsia="NanumBarunGothic"/>
          <w:sz w:val="18"/>
        </w:rPr>
        <w:t>JVM(setenv.sh) 장의 핵심은 설정값을 암기하는 것이 아니라 설정값이 어느 계층의 병목과 장애를 막기 위한 것인지 이해하고 일관된 기준으로 변경·점검·복구하는 것이다.</w:t>
      </w:r>
    </w:p>
    <w:p>
      <w:pPr>
        <w:pStyle w:val="Heading1"/>
      </w:pPr>
      <w:r>
        <w:t>시사점</w:t>
      </w:r>
    </w:p>
    <w:p>
      <w:r>
        <w:rPr>
          <w:rFonts w:ascii="NanumBarunGothic" w:hAnsi="NanumBarunGothic" w:eastAsia="NanumBarunGothic"/>
          <w:sz w:val="18"/>
        </w:rPr>
        <w:t>NSIGHT는 17개 WAR, 다중 WAS, RDW/ADW/SESSIONDB, L4/GSLB가 결합된 구조이므로 한 계층만 튜닝해서는 안정성을 확보하기 어렵다. 계층 간 Timeout, Thread, Pool, Session 기준을 하나의 운영 표준으로 묶어야 장애 확산을 막을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787878"/>
        <w:sz w:val="16"/>
      </w:rPr>
      <w:t>농협상호금융 정보계 NSIGHT 아키텍처 후속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BarunGothic" w:hAnsi="NanumBarunGothic" w:eastAsia="NanumBarunGothic"/>
        <w:color w:val="646464"/>
        <w:sz w:val="16"/>
      </w:rPr>
      <w:t>NSIGHT 통합 운영 매뉴얼 | 32Core/256GB 기준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BarunGothic" w:hAnsi="NanumBarunGothic" w:eastAsia="NanumBarun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