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BarunGothic" w:hAnsi="NanumBarunGothic" w:eastAsia="NanumBarunGothic"/>
          <w:b/>
          <w:color w:val="1F4E79"/>
          <w:sz w:val="42"/>
        </w:rPr>
        <w:t>제13장 17개 WAR 배포 구조</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17개 WAR 배포 구조는 업무 Context를 WAR 단위로 분리하여 배포하는 방식이다. 하나의 Tomcat에 모두 배포할 수는 있지만 Heap, ClassLoader, Thread, 장애 전파, 재기동 영향이 공유되므로 업무그룹 또는 중요도 기준 분리를 함께 검토해야 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GitLab → Gradle bootWar → Artifact Repository → 배포 서버 → Tomcat webapps → Health Check → 서비스 오픈</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배포 단위</w:t>
            </w:r>
          </w:p>
        </w:tc>
        <w:tc>
          <w:tcPr>
            <w:tcW w:type="dxa" w:w="3552"/>
            <w:vAlign w:val="center"/>
          </w:tcPr>
          <w:p>
            <w:r/>
            <w:r>
              <w:rPr>
                <w:rFonts w:ascii="NanumBarunGothic" w:hAnsi="NanumBarunGothic" w:eastAsia="NanumBarunGothic"/>
                <w:b w:val="0"/>
                <w:sz w:val="16"/>
              </w:rPr>
              <w:t>WAR</w:t>
            </w:r>
          </w:p>
        </w:tc>
        <w:tc>
          <w:tcPr>
            <w:tcW w:type="dxa" w:w="3552"/>
            <w:vAlign w:val="center"/>
          </w:tcPr>
          <w:p>
            <w:r/>
            <w:r>
              <w:rPr>
                <w:rFonts w:ascii="NanumBarunGothic" w:hAnsi="NanumBarunGothic" w:eastAsia="NanumBarunGothic"/>
                <w:b w:val="0"/>
                <w:sz w:val="16"/>
              </w:rPr>
              <w:t>Class/JSP 수동 배포 금지</w:t>
            </w:r>
          </w:p>
        </w:tc>
      </w:tr>
      <w:tr>
        <w:tc>
          <w:tcPr>
            <w:tcW w:type="dxa" w:w="3552"/>
            <w:vAlign w:val="center"/>
          </w:tcPr>
          <w:p>
            <w:r/>
            <w:r>
              <w:rPr>
                <w:rFonts w:ascii="NanumBarunGothic" w:hAnsi="NanumBarunGothic" w:eastAsia="NanumBarunGothic"/>
                <w:b w:val="0"/>
                <w:sz w:val="16"/>
              </w:rPr>
              <w:t>Context</w:t>
            </w:r>
          </w:p>
        </w:tc>
        <w:tc>
          <w:tcPr>
            <w:tcW w:type="dxa" w:w="3552"/>
            <w:vAlign w:val="center"/>
          </w:tcPr>
          <w:p>
            <w:r/>
            <w:r>
              <w:rPr>
                <w:rFonts w:ascii="NanumBarunGothic" w:hAnsi="NanumBarunGothic" w:eastAsia="NanumBarunGothic"/>
                <w:b w:val="0"/>
                <w:sz w:val="16"/>
              </w:rPr>
              <w:t>/cc, /ic, /sv, /cm 등</w:t>
            </w:r>
          </w:p>
        </w:tc>
        <w:tc>
          <w:tcPr>
            <w:tcW w:type="dxa" w:w="3552"/>
            <w:vAlign w:val="center"/>
          </w:tcPr>
          <w:p>
            <w:r/>
            <w:r>
              <w:rPr>
                <w:rFonts w:ascii="NanumBarunGothic" w:hAnsi="NanumBarunGothic" w:eastAsia="NanumBarunGothic"/>
                <w:b w:val="0"/>
                <w:sz w:val="16"/>
              </w:rPr>
              <w:t>Apache Routing과 일치</w:t>
            </w:r>
          </w:p>
        </w:tc>
      </w:tr>
      <w:tr>
        <w:tc>
          <w:tcPr>
            <w:tcW w:type="dxa" w:w="3552"/>
            <w:vAlign w:val="center"/>
          </w:tcPr>
          <w:p>
            <w:r/>
            <w:r>
              <w:rPr>
                <w:rFonts w:ascii="NanumBarunGothic" w:hAnsi="NanumBarunGothic" w:eastAsia="NanumBarunGothic"/>
                <w:b w:val="0"/>
                <w:sz w:val="16"/>
              </w:rPr>
              <w:t>운영 방식</w:t>
            </w:r>
          </w:p>
        </w:tc>
        <w:tc>
          <w:tcPr>
            <w:tcW w:type="dxa" w:w="3552"/>
            <w:vAlign w:val="center"/>
          </w:tcPr>
          <w:p>
            <w:r/>
            <w:r>
              <w:rPr>
                <w:rFonts w:ascii="NanumBarunGothic" w:hAnsi="NanumBarunGothic" w:eastAsia="NanumBarunGothic"/>
                <w:b w:val="0"/>
                <w:sz w:val="16"/>
              </w:rPr>
              <w:t>Rolling Deployment</w:t>
            </w:r>
          </w:p>
        </w:tc>
        <w:tc>
          <w:tcPr>
            <w:tcW w:type="dxa" w:w="3552"/>
            <w:vAlign w:val="center"/>
          </w:tcPr>
          <w:p>
            <w:r/>
            <w:r>
              <w:rPr>
                <w:rFonts w:ascii="NanumBarunGothic" w:hAnsi="NanumBarunGothic" w:eastAsia="NanumBarunGothic"/>
                <w:b w:val="0"/>
                <w:sz w:val="16"/>
              </w:rPr>
              <w:t>한 대씩 배포 후 Health Check</w:t>
            </w:r>
          </w:p>
        </w:tc>
      </w:tr>
      <w:tr>
        <w:tc>
          <w:tcPr>
            <w:tcW w:type="dxa" w:w="3552"/>
            <w:vAlign w:val="center"/>
          </w:tcPr>
          <w:p>
            <w:r/>
            <w:r>
              <w:rPr>
                <w:rFonts w:ascii="NanumBarunGothic" w:hAnsi="NanumBarunGothic" w:eastAsia="NanumBarunGothic"/>
                <w:b w:val="0"/>
                <w:sz w:val="16"/>
              </w:rPr>
              <w:t>Rollback</w:t>
            </w:r>
          </w:p>
        </w:tc>
        <w:tc>
          <w:tcPr>
            <w:tcW w:type="dxa" w:w="3552"/>
            <w:vAlign w:val="center"/>
          </w:tcPr>
          <w:p>
            <w:r/>
            <w:r>
              <w:rPr>
                <w:rFonts w:ascii="NanumBarunGothic" w:hAnsi="NanumBarunGothic" w:eastAsia="NanumBarunGothic"/>
                <w:b w:val="0"/>
                <w:sz w:val="16"/>
              </w:rPr>
              <w:t>이전 WAR 보관</w:t>
            </w:r>
          </w:p>
        </w:tc>
        <w:tc>
          <w:tcPr>
            <w:tcW w:type="dxa" w:w="3552"/>
            <w:vAlign w:val="center"/>
          </w:tcPr>
          <w:p>
            <w:r/>
            <w:r>
              <w:rPr>
                <w:rFonts w:ascii="NanumBarunGothic" w:hAnsi="NanumBarunGothic" w:eastAsia="NanumBarunGothic"/>
                <w:b w:val="0"/>
                <w:sz w:val="16"/>
              </w:rPr>
              <w:t>Health 실패 시 즉시 복구</w:t>
            </w:r>
          </w:p>
        </w:tc>
      </w:tr>
      <w:tr>
        <w:tc>
          <w:tcPr>
            <w:tcW w:type="dxa" w:w="3552"/>
            <w:vAlign w:val="center"/>
          </w:tcPr>
          <w:p>
            <w:r/>
            <w:r>
              <w:rPr>
                <w:rFonts w:ascii="NanumBarunGothic" w:hAnsi="NanumBarunGothic" w:eastAsia="NanumBarunGothic"/>
                <w:b w:val="0"/>
                <w:sz w:val="16"/>
              </w:rPr>
              <w:t>격리 기준</w:t>
            </w:r>
          </w:p>
        </w:tc>
        <w:tc>
          <w:tcPr>
            <w:tcW w:type="dxa" w:w="3552"/>
            <w:vAlign w:val="center"/>
          </w:tcPr>
          <w:p>
            <w:r/>
            <w:r>
              <w:rPr>
                <w:rFonts w:ascii="NanumBarunGothic" w:hAnsi="NanumBarunGothic" w:eastAsia="NanumBarunGothic"/>
                <w:b w:val="0"/>
                <w:sz w:val="16"/>
              </w:rPr>
              <w:t>업무그룹/중요도/부하특성</w:t>
            </w:r>
          </w:p>
        </w:tc>
        <w:tc>
          <w:tcPr>
            <w:tcW w:type="dxa" w:w="3552"/>
            <w:vAlign w:val="center"/>
          </w:tcPr>
          <w:p>
            <w:r/>
            <w:r>
              <w:rPr>
                <w:rFonts w:ascii="NanumBarunGothic" w:hAnsi="NanumBarunGothic" w:eastAsia="NanumBarunGothic"/>
                <w:b w:val="0"/>
                <w:sz w:val="16"/>
              </w:rPr>
              <w:t>17개 WAR 단일 Tomcat은 리스크 검토 필수</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 Tomcat webapps 배포 예시</w:t>
              <w:br/>
            </w:r>
            <w:r>
              <w:rPr>
                <w:rFonts w:ascii="NanumGothicCoding" w:hAnsi="NanumGothicCoding" w:eastAsia="NanumGothicCoding"/>
                <w:sz w:val="14"/>
              </w:rPr>
              <w:t>$CATALINA_BASE/webapps/</w:t>
              <w:br/>
            </w:r>
            <w:r>
              <w:rPr>
                <w:rFonts w:ascii="NanumGothicCoding" w:hAnsi="NanumGothicCoding" w:eastAsia="NanumGothicCoding"/>
                <w:sz w:val="14"/>
              </w:rPr>
              <w:t xml:space="preserve">  cc.war</w:t>
              <w:br/>
            </w:r>
            <w:r>
              <w:rPr>
                <w:rFonts w:ascii="NanumGothicCoding" w:hAnsi="NanumGothicCoding" w:eastAsia="NanumGothicCoding"/>
                <w:sz w:val="14"/>
              </w:rPr>
              <w:t xml:space="preserve">  ic.war</w:t>
              <w:br/>
            </w:r>
            <w:r>
              <w:rPr>
                <w:rFonts w:ascii="NanumGothicCoding" w:hAnsi="NanumGothicCoding" w:eastAsia="NanumGothicCoding"/>
                <w:sz w:val="14"/>
              </w:rPr>
              <w:t xml:space="preserve">  pc.war</w:t>
              <w:br/>
            </w:r>
            <w:r>
              <w:rPr>
                <w:rFonts w:ascii="NanumGothicCoding" w:hAnsi="NanumGothicCoding" w:eastAsia="NanumGothicCoding"/>
                <w:sz w:val="14"/>
              </w:rPr>
              <w:t xml:space="preserve">  bc.war</w:t>
              <w:br/>
            </w:r>
            <w:r>
              <w:rPr>
                <w:rFonts w:ascii="NanumGothicCoding" w:hAnsi="NanumGothicCoding" w:eastAsia="NanumGothicCoding"/>
                <w:sz w:val="14"/>
              </w:rPr>
              <w:t xml:space="preserve">  ms.war</w:t>
              <w:br/>
            </w:r>
            <w:r>
              <w:rPr>
                <w:rFonts w:ascii="NanumGothicCoding" w:hAnsi="NanumGothicCoding" w:eastAsia="NanumGothicCoding"/>
                <w:sz w:val="14"/>
              </w:rPr>
              <w:t xml:space="preserve">  sv.war</w:t>
              <w:br/>
            </w:r>
            <w:r>
              <w:rPr>
                <w:rFonts w:ascii="NanumGothicCoding" w:hAnsi="NanumGothicCoding" w:eastAsia="NanumGothicCoding"/>
                <w:sz w:val="14"/>
              </w:rPr>
              <w:t xml:space="preserve">  pd.war</w:t>
              <w:br/>
            </w:r>
            <w:r>
              <w:rPr>
                <w:rFonts w:ascii="NanumGothicCoding" w:hAnsi="NanumGothicCoding" w:eastAsia="NanumGothicCoding"/>
                <w:sz w:val="14"/>
              </w:rPr>
              <w:t xml:space="preserve">  cm.war</w:t>
              <w:br/>
            </w:r>
            <w:r>
              <w:rPr>
                <w:rFonts w:ascii="NanumGothicCoding" w:hAnsi="NanumGothicCoding" w:eastAsia="NanumGothicCoding"/>
                <w:sz w:val="14"/>
              </w:rPr>
              <w:t xml:space="preserve">  eb.war</w:t>
              <w:br/>
            </w:r>
            <w:r>
              <w:rPr>
                <w:rFonts w:ascii="NanumGothicCoding" w:hAnsi="NanumGothicCoding" w:eastAsia="NanumGothicCoding"/>
                <w:sz w:val="14"/>
              </w:rPr>
              <w:t xml:space="preserve">  ep.war</w:t>
              <w:br/>
            </w:r>
            <w:r>
              <w:rPr>
                <w:rFonts w:ascii="NanumGothicCoding" w:hAnsi="NanumGothicCoding" w:eastAsia="NanumGothicCoding"/>
                <w:sz w:val="14"/>
              </w:rPr>
              <w:t xml:space="preserve">  bp.war</w:t>
              <w:br/>
            </w:r>
            <w:r>
              <w:rPr>
                <w:rFonts w:ascii="NanumGothicCoding" w:hAnsi="NanumGothicCoding" w:eastAsia="NanumGothicCoding"/>
                <w:sz w:val="14"/>
              </w:rPr>
              <w:t xml:space="preserve">  bd.war</w:t>
              <w:br/>
            </w:r>
            <w:r>
              <w:rPr>
                <w:rFonts w:ascii="NanumGothicCoding" w:hAnsi="NanumGothicCoding" w:eastAsia="NanumGothicCoding"/>
                <w:sz w:val="14"/>
              </w:rPr>
              <w:t xml:space="preserve">  ss.war</w:t>
              <w:br/>
            </w:r>
            <w:r>
              <w:rPr>
                <w:rFonts w:ascii="NanumGothicCoding" w:hAnsi="NanumGothicCoding" w:eastAsia="NanumGothicCoding"/>
                <w:sz w:val="14"/>
              </w:rPr>
              <w:t xml:space="preserve">  cs.war</w:t>
              <w:br/>
            </w:r>
            <w:r>
              <w:rPr>
                <w:rFonts w:ascii="NanumGothicCoding" w:hAnsi="NanumGothicCoding" w:eastAsia="NanumGothicCoding"/>
                <w:sz w:val="14"/>
              </w:rPr>
              <w:t xml:space="preserve">  ct.war</w:t>
              <w:br/>
            </w:r>
            <w:r>
              <w:rPr>
                <w:rFonts w:ascii="NanumGothicCoding" w:hAnsi="NanumGothicCoding" w:eastAsia="NanumGothicCoding"/>
                <w:sz w:val="14"/>
              </w:rPr>
              <w:t xml:space="preserve">  mg.war</w:t>
              <w:br/>
            </w:r>
            <w:r>
              <w:rPr>
                <w:rFonts w:ascii="NanumGothicCoding" w:hAnsi="NanumGothicCoding" w:eastAsia="NanumGothicCoding"/>
                <w:sz w:val="14"/>
              </w:rPr>
              <w:t xml:space="preserve">  admin.war</w:t>
              <w:br/>
            </w:r>
            <w:r>
              <w:rPr>
                <w:rFonts w:ascii="NanumGothicCoding" w:hAnsi="NanumGothicCoding" w:eastAsia="NanumGothicCoding"/>
                <w:sz w:val="14"/>
              </w:rPr>
              <w:br/>
            </w:r>
            <w:r>
              <w:rPr>
                <w:rFonts w:ascii="NanumGothicCoding" w:hAnsi="NanumGothicCoding" w:eastAsia="NanumGothicCoding"/>
                <w:sz w:val="14"/>
              </w:rPr>
              <w:t># 표준 배포 절차</w:t>
              <w:br/>
            </w:r>
            <w:r>
              <w:rPr>
                <w:rFonts w:ascii="NanumGothicCoding" w:hAnsi="NanumGothicCoding" w:eastAsia="NanumGothicCoding"/>
                <w:sz w:val="14"/>
              </w:rPr>
              <w:t>1. Git Tag 생성</w:t>
              <w:br/>
            </w:r>
            <w:r>
              <w:rPr>
                <w:rFonts w:ascii="NanumGothicCoding" w:hAnsi="NanumGothicCoding" w:eastAsia="NanumGothicCoding"/>
                <w:sz w:val="14"/>
              </w:rPr>
              <w:t>2. Gradle bootWar</w:t>
              <w:br/>
            </w:r>
            <w:r>
              <w:rPr>
                <w:rFonts w:ascii="NanumGothicCoding" w:hAnsi="NanumGothicCoding" w:eastAsia="NanumGothicCoding"/>
                <w:sz w:val="14"/>
              </w:rPr>
              <w:t>3. Nexus/Artifact 저장</w:t>
              <w:br/>
            </w:r>
            <w:r>
              <w:rPr>
                <w:rFonts w:ascii="NanumGothicCoding" w:hAnsi="NanumGothicCoding" w:eastAsia="NanumGothicCoding"/>
                <w:sz w:val="14"/>
              </w:rPr>
              <w:t>4. Tomcat-01 배포</w:t>
              <w:br/>
            </w:r>
            <w:r>
              <w:rPr>
                <w:rFonts w:ascii="NanumGothicCoding" w:hAnsi="NanumGothicCoding" w:eastAsia="NanumGothicCoding"/>
                <w:sz w:val="14"/>
              </w:rPr>
              <w:t>5. Health Check</w:t>
              <w:br/>
            </w:r>
            <w:r>
              <w:rPr>
                <w:rFonts w:ascii="NanumGothicCoding" w:hAnsi="NanumGothicCoding" w:eastAsia="NanumGothicCoding"/>
                <w:sz w:val="14"/>
              </w:rPr>
              <w:t>6. Tomcat-02 배포</w:t>
              <w:br/>
            </w:r>
            <w:r>
              <w:rPr>
                <w:rFonts w:ascii="NanumGothicCoding" w:hAnsi="NanumGothicCoding" w:eastAsia="NanumGothicCoding"/>
                <w:sz w:val="14"/>
              </w:rPr>
              <w:t>7. Health Check</w:t>
              <w:br/>
            </w:r>
            <w:r>
              <w:rPr>
                <w:rFonts w:ascii="NanumGothicCoding" w:hAnsi="NanumGothicCoding" w:eastAsia="NanumGothicCoding"/>
                <w:sz w:val="14"/>
              </w:rPr>
              <w:t>8. 이상 시 Rollback</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단일 Tomcat</w:t>
            </w:r>
          </w:p>
        </w:tc>
        <w:tc>
          <w:tcPr>
            <w:tcW w:type="dxa" w:w="2664"/>
            <w:vAlign w:val="center"/>
          </w:tcPr>
          <w:p>
            <w:r/>
            <w:r>
              <w:rPr>
                <w:rFonts w:ascii="NanumBarunGothic" w:hAnsi="NanumBarunGothic" w:eastAsia="NanumBarunGothic"/>
                <w:b w:val="0"/>
                <w:sz w:val="16"/>
              </w:rPr>
              <w:t>운영 단순</w:t>
            </w:r>
          </w:p>
        </w:tc>
        <w:tc>
          <w:tcPr>
            <w:tcW w:type="dxa" w:w="2664"/>
            <w:vAlign w:val="center"/>
          </w:tcPr>
          <w:p>
            <w:r/>
            <w:r>
              <w:rPr>
                <w:rFonts w:ascii="NanumBarunGothic" w:hAnsi="NanumBarunGothic" w:eastAsia="NanumBarunGothic"/>
                <w:b w:val="0"/>
                <w:sz w:val="16"/>
              </w:rPr>
              <w:t>Heap/Thread 공유</w:t>
            </w:r>
          </w:p>
        </w:tc>
        <w:tc>
          <w:tcPr>
            <w:tcW w:type="dxa" w:w="2664"/>
            <w:vAlign w:val="center"/>
          </w:tcPr>
          <w:p>
            <w:r/>
            <w:r>
              <w:rPr>
                <w:rFonts w:ascii="NanumBarunGothic" w:hAnsi="NanumBarunGothic" w:eastAsia="NanumBarunGothic"/>
                <w:b w:val="0"/>
                <w:sz w:val="16"/>
              </w:rPr>
              <w:t>한 WAR 장애가 전체 재기동으로 확대 가능</w:t>
            </w:r>
          </w:p>
        </w:tc>
      </w:tr>
      <w:tr>
        <w:tc>
          <w:tcPr>
            <w:tcW w:type="dxa" w:w="2664"/>
            <w:vAlign w:val="center"/>
          </w:tcPr>
          <w:p>
            <w:r/>
            <w:r>
              <w:rPr>
                <w:rFonts w:ascii="NanumBarunGothic" w:hAnsi="NanumBarunGothic" w:eastAsia="NanumBarunGothic"/>
                <w:b w:val="0"/>
                <w:sz w:val="16"/>
              </w:rPr>
              <w:t>업무그룹 분리</w:t>
            </w:r>
          </w:p>
        </w:tc>
        <w:tc>
          <w:tcPr>
            <w:tcW w:type="dxa" w:w="2664"/>
            <w:vAlign w:val="center"/>
          </w:tcPr>
          <w:p>
            <w:r/>
            <w:r>
              <w:rPr>
                <w:rFonts w:ascii="NanumBarunGothic" w:hAnsi="NanumBarunGothic" w:eastAsia="NanumBarunGothic"/>
                <w:b w:val="0"/>
                <w:sz w:val="16"/>
              </w:rPr>
              <w:t>A/B 그룹별 Tomcat</w:t>
            </w:r>
          </w:p>
        </w:tc>
        <w:tc>
          <w:tcPr>
            <w:tcW w:type="dxa" w:w="2664"/>
            <w:vAlign w:val="center"/>
          </w:tcPr>
          <w:p>
            <w:r/>
            <w:r>
              <w:rPr>
                <w:rFonts w:ascii="NanumBarunGothic" w:hAnsi="NanumBarunGothic" w:eastAsia="NanumBarunGothic"/>
                <w:b w:val="0"/>
                <w:sz w:val="16"/>
              </w:rPr>
              <w:t>장애 격리 향상</w:t>
            </w:r>
          </w:p>
        </w:tc>
        <w:tc>
          <w:tcPr>
            <w:tcW w:type="dxa" w:w="2664"/>
            <w:vAlign w:val="center"/>
          </w:tcPr>
          <w:p>
            <w:r/>
            <w:r>
              <w:rPr>
                <w:rFonts w:ascii="NanumBarunGothic" w:hAnsi="NanumBarunGothic" w:eastAsia="NanumBarunGothic"/>
                <w:b w:val="0"/>
                <w:sz w:val="16"/>
              </w:rPr>
              <w:t>세션 공유 정책 필요</w:t>
            </w:r>
          </w:p>
        </w:tc>
      </w:tr>
      <w:tr>
        <w:tc>
          <w:tcPr>
            <w:tcW w:type="dxa" w:w="2664"/>
            <w:vAlign w:val="center"/>
          </w:tcPr>
          <w:p>
            <w:r/>
            <w:r>
              <w:rPr>
                <w:rFonts w:ascii="NanumBarunGothic" w:hAnsi="NanumBarunGothic" w:eastAsia="NanumBarunGothic"/>
                <w:b w:val="0"/>
                <w:sz w:val="16"/>
              </w:rPr>
              <w:t>WAR별 Tomcat</w:t>
            </w:r>
          </w:p>
        </w:tc>
        <w:tc>
          <w:tcPr>
            <w:tcW w:type="dxa" w:w="2664"/>
            <w:vAlign w:val="center"/>
          </w:tcPr>
          <w:p>
            <w:r/>
            <w:r>
              <w:rPr>
                <w:rFonts w:ascii="NanumBarunGothic" w:hAnsi="NanumBarunGothic" w:eastAsia="NanumBarunGothic"/>
                <w:b w:val="0"/>
                <w:sz w:val="16"/>
              </w:rPr>
              <w:t>가장 강한 격리</w:t>
            </w:r>
          </w:p>
        </w:tc>
        <w:tc>
          <w:tcPr>
            <w:tcW w:type="dxa" w:w="2664"/>
            <w:vAlign w:val="center"/>
          </w:tcPr>
          <w:p>
            <w:r/>
            <w:r>
              <w:rPr>
                <w:rFonts w:ascii="NanumBarunGothic" w:hAnsi="NanumBarunGothic" w:eastAsia="NanumBarunGothic"/>
                <w:b w:val="0"/>
                <w:sz w:val="16"/>
              </w:rPr>
              <w:t>운영 포트/모니터링 증가</w:t>
            </w:r>
          </w:p>
        </w:tc>
        <w:tc>
          <w:tcPr>
            <w:tcW w:type="dxa" w:w="2664"/>
            <w:vAlign w:val="center"/>
          </w:tcPr>
          <w:p>
            <w:r/>
            <w:r>
              <w:rPr>
                <w:rFonts w:ascii="NanumBarunGothic" w:hAnsi="NanumBarunGothic" w:eastAsia="NanumBarunGothic"/>
                <w:b w:val="0"/>
                <w:sz w:val="16"/>
              </w:rPr>
              <w:t>MSA 유사 운영 복잡도</w:t>
            </w:r>
          </w:p>
        </w:tc>
      </w:tr>
      <w:tr>
        <w:tc>
          <w:tcPr>
            <w:tcW w:type="dxa" w:w="2664"/>
            <w:vAlign w:val="center"/>
          </w:tcPr>
          <w:p>
            <w:r/>
            <w:r>
              <w:rPr>
                <w:rFonts w:ascii="NanumBarunGothic" w:hAnsi="NanumBarunGothic" w:eastAsia="NanumBarunGothic"/>
                <w:b w:val="0"/>
                <w:sz w:val="16"/>
              </w:rPr>
              <w:t>Rolling</w:t>
            </w:r>
          </w:p>
        </w:tc>
        <w:tc>
          <w:tcPr>
            <w:tcW w:type="dxa" w:w="2664"/>
            <w:vAlign w:val="center"/>
          </w:tcPr>
          <w:p>
            <w:r/>
            <w:r>
              <w:rPr>
                <w:rFonts w:ascii="NanumBarunGothic" w:hAnsi="NanumBarunGothic" w:eastAsia="NanumBarunGothic"/>
                <w:b w:val="0"/>
                <w:sz w:val="16"/>
              </w:rPr>
              <w:t>무중단 배포</w:t>
            </w:r>
          </w:p>
        </w:tc>
        <w:tc>
          <w:tcPr>
            <w:tcW w:type="dxa" w:w="2664"/>
            <w:vAlign w:val="center"/>
          </w:tcPr>
          <w:p>
            <w:r/>
            <w:r>
              <w:rPr>
                <w:rFonts w:ascii="NanumBarunGothic" w:hAnsi="NanumBarunGothic" w:eastAsia="NanumBarunGothic"/>
                <w:b w:val="0"/>
                <w:sz w:val="16"/>
              </w:rPr>
              <w:t>L4에서 한 노드 제외 후 배포</w:t>
            </w:r>
          </w:p>
        </w:tc>
        <w:tc>
          <w:tcPr>
            <w:tcW w:type="dxa" w:w="2664"/>
            <w:vAlign w:val="center"/>
          </w:tcPr>
          <w:p>
            <w:r/>
            <w:r>
              <w:rPr>
                <w:rFonts w:ascii="NanumBarunGothic" w:hAnsi="NanumBarunGothic" w:eastAsia="NanumBarunGothic"/>
                <w:b w:val="0"/>
                <w:sz w:val="16"/>
              </w:rPr>
              <w:t>세션/Health/로그 확인 필요</w:t>
            </w:r>
          </w:p>
        </w:tc>
      </w:tr>
      <w:tr>
        <w:tc>
          <w:tcPr>
            <w:tcW w:type="dxa" w:w="2664"/>
            <w:vAlign w:val="center"/>
          </w:tcPr>
          <w:p>
            <w:r/>
            <w:r>
              <w:rPr>
                <w:rFonts w:ascii="NanumBarunGothic" w:hAnsi="NanumBarunGothic" w:eastAsia="NanumBarunGothic"/>
                <w:b w:val="0"/>
                <w:sz w:val="16"/>
              </w:rPr>
              <w:t>Artifact</w:t>
            </w:r>
          </w:p>
        </w:tc>
        <w:tc>
          <w:tcPr>
            <w:tcW w:type="dxa" w:w="2664"/>
            <w:vAlign w:val="center"/>
          </w:tcPr>
          <w:p>
            <w:r/>
            <w:r>
              <w:rPr>
                <w:rFonts w:ascii="NanumBarunGothic" w:hAnsi="NanumBarunGothic" w:eastAsia="NanumBarunGothic"/>
                <w:b w:val="0"/>
                <w:sz w:val="16"/>
              </w:rPr>
              <w:t>버전 고정</w:t>
            </w:r>
          </w:p>
        </w:tc>
        <w:tc>
          <w:tcPr>
            <w:tcW w:type="dxa" w:w="2664"/>
            <w:vAlign w:val="center"/>
          </w:tcPr>
          <w:p>
            <w:r/>
            <w:r>
              <w:rPr>
                <w:rFonts w:ascii="NanumBarunGothic" w:hAnsi="NanumBarunGothic" w:eastAsia="NanumBarunGothic"/>
                <w:b w:val="0"/>
                <w:sz w:val="16"/>
              </w:rPr>
              <w:t>재현 가능한 배포</w:t>
            </w:r>
          </w:p>
        </w:tc>
        <w:tc>
          <w:tcPr>
            <w:tcW w:type="dxa" w:w="2664"/>
            <w:vAlign w:val="center"/>
          </w:tcPr>
          <w:p>
            <w:r/>
            <w:r>
              <w:rPr>
                <w:rFonts w:ascii="NanumBarunGothic" w:hAnsi="NanumBarunGothic" w:eastAsia="NanumBarunGothic"/>
                <w:b w:val="0"/>
                <w:sz w:val="16"/>
              </w:rPr>
              <w:t>운영 서버 직접 수정 금지</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ls -al $CATALINA_BASE/webapps</w:t>
              <w:br/>
            </w:r>
            <w:r>
              <w:rPr>
                <w:rFonts w:ascii="NanumGothicCoding" w:hAnsi="NanumGothicCoding" w:eastAsia="NanumGothicCoding"/>
                <w:sz w:val="14"/>
              </w:rPr>
              <w:t>curl http://localhost:8080/cc/actuator/health</w:t>
              <w:br/>
            </w:r>
            <w:r>
              <w:rPr>
                <w:rFonts w:ascii="NanumGothicCoding" w:hAnsi="NanumGothicCoding" w:eastAsia="NanumGothicCoding"/>
                <w:sz w:val="14"/>
              </w:rPr>
              <w:t># 배포 전후 WAR checksum 비교</w:t>
              <w:br/>
            </w:r>
            <w:r>
              <w:rPr>
                <w:rFonts w:ascii="NanumGothicCoding" w:hAnsi="NanumGothicCoding" w:eastAsia="NanumGothicCoding"/>
                <w:sz w:val="14"/>
              </w:rPr>
              <w:t># rollback 디렉터리와 Git Tag 확인</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17개 WAR 배포 구조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787878"/>
        <w:sz w:val="16"/>
      </w:rPr>
      <w:t>농협상호금융 정보계 NSIGHT 아키텍처 후속 문서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BarunGothic" w:hAnsi="NanumBarunGothic" w:eastAsia="NanumBarunGothic"/>
        <w:color w:val="646464"/>
        <w:sz w:val="16"/>
      </w:rPr>
      <w:t>NSIGHT 통합 운영 매뉴얼 | 32Core/256GB 기준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 w:hAnsi="NanumBarunGothic" w:eastAsia="NanumBarun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BarunGothic" w:hAnsi="NanumBarunGothic" w:eastAsia="NanumBarun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BarunGothic" w:hAnsi="NanumBarunGothic" w:eastAsia="NanumBarunGothic"/>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BarunGothic" w:hAnsi="NanumBarunGothic" w:eastAsia="NanumBarunGothic"/>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BarunGothic" w:hAnsi="NanumBarunGothic" w:eastAsia="NanumBarunGothi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