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Malgun Gothic" w:hAnsi="Malgun Gothic" w:eastAsia="Malgun Gothic"/>
          <w:b/>
          <w:color w:val="0B2545"/>
          <w:sz w:val="44"/>
        </w:rPr>
        <w:t>TPS와 TPMC 관계 정리</w:t>
      </w:r>
    </w:p>
    <w:p>
      <w:pPr>
        <w:spacing w:after="280"/>
      </w:pPr>
      <w:r>
        <w:rPr>
          <w:rFonts w:ascii="Malgun Gothic" w:hAnsi="Malgun Gothic" w:eastAsia="Malgun Gothic"/>
          <w:color w:val="555555"/>
          <w:sz w:val="22"/>
        </w:rPr>
        <w:t>Spring Boot 기반 정보계 AP의 Core당 실효 처리량 산정 기준</w:t>
      </w:r>
    </w:p>
    <w:p>
      <w:pPr>
        <w:pStyle w:val="Heading1"/>
        <w:keepNext/>
      </w:pPr>
      <w:r>
        <w:rPr>
          <w:rFonts w:ascii="Malgun Gothic" w:hAnsi="Malgun Gothic" w:eastAsia="Malgun Gothic"/>
        </w:rPr>
        <w:t>1. 핵심 결론</w:t>
      </w:r>
    </w:p>
    <w:p>
      <w:pPr>
        <w:spacing w:after="120" w:line="264" w:lineRule="auto"/>
      </w:pPr>
      <w:r>
        <w:rPr>
          <w:rFonts w:ascii="Malgun Gothic" w:hAnsi="Malgun Gothic" w:eastAsia="Malgun Gothic"/>
          <w:sz w:val="21"/>
        </w:rPr>
        <w:t>Core당 106,932 TPMC라는 벤치마크 성능을 단순히 60으로 나누어 1,782 TPS/Core로 해석하면 실제 업무 처리량을 과대 산정하게 됩니다.</w:t>
      </w:r>
    </w:p>
    <w:p>
      <w:pPr>
        <w:spacing w:after="120" w:line="264" w:lineRule="auto"/>
      </w:pPr>
      <w:r>
        <w:rPr>
          <w:rFonts w:ascii="Malgun Gothic" w:hAnsi="Malgun Gothic" w:eastAsia="Malgun Gothic"/>
          <w:sz w:val="21"/>
        </w:rPr>
        <w:t>Spring Boot 기반 정보계 거래는 전문 수신부터 응답 반환까지 여러 공통 처리와 업무 처리를 함께 수행하므로, 업무 TPS 1건당 약 2,500~3,500 TPMC의 성능 소모를 적용하는 것이 현실적입니다.</w:t>
      </w:r>
    </w:p>
    <w:p>
      <w:pPr>
        <w:spacing w:after="120" w:line="264" w:lineRule="auto"/>
      </w:pPr>
      <w:r>
        <w:rPr>
          <w:rFonts w:ascii="Malgun Gothic" w:hAnsi="Malgun Gothic" w:eastAsia="Malgun Gothic"/>
          <w:b/>
          <w:sz w:val="21"/>
        </w:rPr>
        <w:t>따라서</w:t>
      </w:r>
      <w:r>
        <w:rPr>
          <w:rFonts w:ascii="Malgun Gothic" w:hAnsi="Malgun Gothic" w:eastAsia="Malgun Gothic"/>
          <w:sz w:val="21"/>
        </w:rPr>
        <w:t xml:space="preserve"> NSIGHT 정보계 AP의 Core당 실효 처리량은 약 30~40 TPS 수준으로 산정하는 것이 적정합니다.</w:t>
      </w:r>
    </w:p>
    <w:p>
      <w:pPr>
        <w:pStyle w:val="Heading1"/>
        <w:keepNext/>
      </w:pPr>
      <w:r>
        <w:rPr>
          <w:rFonts w:ascii="Malgun Gothic" w:hAnsi="Malgun Gothic" w:eastAsia="Malgun Gothic"/>
        </w:rPr>
        <w:t>2. 단순 환산과 실효 환산의 차이</w:t>
      </w:r>
    </w:p>
    <w:p>
      <w:pPr>
        <w:spacing w:after="120" w:line="264" w:lineRule="auto"/>
      </w:pPr>
      <w:r>
        <w:rPr>
          <w:rFonts w:ascii="Malgun Gothic" w:hAnsi="Malgun Gothic" w:eastAsia="Malgun Gothic"/>
          <w:sz w:val="21"/>
        </w:rPr>
        <w:t>TPMC는 벤치마크 환경에서 측정된 처리 성능 지표입니다. 반면 업무 TPS는 실제 애플리케이션이 한 건의 업무 거래를 끝까지 처리하는 단위입니다.</w:t>
      </w:r>
    </w:p>
    <w:p>
      <w:pPr>
        <w:spacing w:after="120" w:line="264" w:lineRule="auto"/>
      </w:pPr>
      <w:r>
        <w:rPr>
          <w:rFonts w:ascii="Malgun Gothic" w:hAnsi="Malgun Gothic" w:eastAsia="Malgun Gothic"/>
          <w:sz w:val="21"/>
        </w:rPr>
        <w:t>두 지표를 연결할 때는 시간 단위 환산뿐 아니라 거래 복잡도, 공통 모듈 처리, DB 조회, 외부 연계 대기, 로그 처리 등을 반영해야 합니다.</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880"/>
        <w:gridCol w:w="6480"/>
      </w:tblGrid>
      <w:tr>
        <w:tc>
          <w:tcPr>
            <w:tcW w:type="dxa" w:w="2880"/>
            <w:vAlign w:val="center"/>
            <w:shd w:fill="F2F4F7"/>
          </w:tcPr>
          <w:p>
            <w:pPr>
              <w:jc w:val="center"/>
            </w:pPr>
            <w:r>
              <w:rPr>
                <w:rFonts w:ascii="Malgun Gothic" w:hAnsi="Malgun Gothic" w:eastAsia="Malgun Gothic"/>
                <w:b/>
                <w:color w:val="1F3A5F"/>
                <w:sz w:val="19"/>
              </w:rPr>
              <w:t>산정 항목</w:t>
            </w:r>
          </w:p>
        </w:tc>
        <w:tc>
          <w:tcPr>
            <w:tcW w:type="dxa" w:w="6480"/>
            <w:vAlign w:val="center"/>
            <w:shd w:fill="F2F4F7"/>
          </w:tcPr>
          <w:p>
            <w:pPr>
              <w:jc w:val="left"/>
            </w:pPr>
            <w:r>
              <w:rPr>
                <w:rFonts w:ascii="Malgun Gothic" w:hAnsi="Malgun Gothic" w:eastAsia="Malgun Gothic"/>
                <w:b/>
                <w:color w:val="1F3A5F"/>
                <w:sz w:val="19"/>
              </w:rPr>
              <w:t>값 / 계산식</w:t>
            </w:r>
          </w:p>
        </w:tc>
      </w:tr>
      <w:tr>
        <w:tc>
          <w:tcPr>
            <w:tcW w:type="dxa" w:w="2880"/>
            <w:vAlign w:val="center"/>
          </w:tcPr>
          <w:p>
            <w:pPr>
              <w:spacing w:after="40" w:line="264" w:lineRule="auto"/>
              <w:jc w:val="center"/>
            </w:pPr>
            <w:r>
              <w:rPr>
                <w:rFonts w:ascii="Malgun Gothic" w:hAnsi="Malgun Gothic" w:eastAsia="Malgun Gothic"/>
                <w:sz w:val="18"/>
              </w:rPr>
              <w:t>Core당 벤치마크 성능</w:t>
            </w:r>
          </w:p>
        </w:tc>
        <w:tc>
          <w:tcPr>
            <w:tcW w:type="dxa" w:w="6480"/>
            <w:vAlign w:val="center"/>
          </w:tcPr>
          <w:p>
            <w:pPr>
              <w:spacing w:after="40" w:line="264" w:lineRule="auto"/>
              <w:jc w:val="left"/>
            </w:pPr>
            <w:r>
              <w:rPr>
                <w:rFonts w:ascii="Malgun Gothic" w:hAnsi="Malgun Gothic" w:eastAsia="Malgun Gothic"/>
                <w:sz w:val="18"/>
              </w:rPr>
              <w:t>106,932 TPMC</w:t>
            </w:r>
          </w:p>
        </w:tc>
      </w:tr>
      <w:tr>
        <w:tc>
          <w:tcPr>
            <w:tcW w:type="dxa" w:w="2880"/>
            <w:vAlign w:val="center"/>
          </w:tcPr>
          <w:p>
            <w:pPr>
              <w:spacing w:after="40" w:line="264" w:lineRule="auto"/>
              <w:jc w:val="center"/>
            </w:pPr>
            <w:r>
              <w:rPr>
                <w:rFonts w:ascii="Malgun Gothic" w:hAnsi="Malgun Gothic" w:eastAsia="Malgun Gothic"/>
                <w:sz w:val="18"/>
              </w:rPr>
              <w:t>단순 시간 환산</w:t>
            </w:r>
          </w:p>
        </w:tc>
        <w:tc>
          <w:tcPr>
            <w:tcW w:type="dxa" w:w="6480"/>
            <w:vAlign w:val="center"/>
          </w:tcPr>
          <w:p>
            <w:pPr>
              <w:spacing w:after="40" w:line="264" w:lineRule="auto"/>
              <w:jc w:val="left"/>
            </w:pPr>
            <w:r>
              <w:rPr>
                <w:rFonts w:ascii="Malgun Gothic" w:hAnsi="Malgun Gothic" w:eastAsia="Malgun Gothic"/>
                <w:sz w:val="18"/>
              </w:rPr>
              <w:t>106,932 ÷ 60 = 약 1,782 TPS/Core</w:t>
            </w:r>
          </w:p>
        </w:tc>
      </w:tr>
      <w:tr>
        <w:tc>
          <w:tcPr>
            <w:tcW w:type="dxa" w:w="2880"/>
            <w:vAlign w:val="center"/>
          </w:tcPr>
          <w:p>
            <w:pPr>
              <w:spacing w:after="40" w:line="264" w:lineRule="auto"/>
              <w:jc w:val="center"/>
            </w:pPr>
            <w:r>
              <w:rPr>
                <w:rFonts w:ascii="Malgun Gothic" w:hAnsi="Malgun Gothic" w:eastAsia="Malgun Gothic"/>
                <w:sz w:val="18"/>
              </w:rPr>
              <w:t>해석상 한계</w:t>
            </w:r>
          </w:p>
        </w:tc>
        <w:tc>
          <w:tcPr>
            <w:tcW w:type="dxa" w:w="6480"/>
            <w:vAlign w:val="center"/>
          </w:tcPr>
          <w:p>
            <w:pPr>
              <w:spacing w:after="40" w:line="264" w:lineRule="auto"/>
              <w:jc w:val="left"/>
            </w:pPr>
            <w:r>
              <w:rPr>
                <w:rFonts w:ascii="Malgun Gothic" w:hAnsi="Malgun Gothic" w:eastAsia="Malgun Gothic"/>
                <w:sz w:val="18"/>
              </w:rPr>
              <w:t>벤치마크성 이론값이며 실제 업무 복잡도를 반영하지 않음</w:t>
            </w:r>
          </w:p>
        </w:tc>
      </w:tr>
    </w:tbl>
    <w:p/>
    <w:p>
      <w:pPr>
        <w:pStyle w:val="Heading1"/>
        <w:keepNext/>
      </w:pPr>
      <w:r>
        <w:rPr>
          <w:rFonts w:ascii="Malgun Gothic" w:hAnsi="Malgun Gothic" w:eastAsia="Malgun Gothic"/>
        </w:rPr>
        <w:t>3. Spring Boot 정보계 거래의 처리 구성</w:t>
      </w:r>
    </w:p>
    <w:p>
      <w:pPr>
        <w:spacing w:after="120" w:line="264" w:lineRule="auto"/>
      </w:pPr>
      <w:r>
        <w:rPr>
          <w:rFonts w:ascii="Malgun Gothic" w:hAnsi="Malgun Gothic" w:eastAsia="Malgun Gothic"/>
          <w:sz w:val="21"/>
        </w:rPr>
        <w:t>일반적인 정보계 거래 1건은 단일 연산이 아니라 다음 처리 흐름을 거칩니다.</w:t>
      </w:r>
    </w:p>
    <w:p>
      <w:pPr>
        <w:pStyle w:val="ListBullet"/>
        <w:spacing w:after="80" w:line="264" w:lineRule="auto"/>
      </w:pPr>
      <w:r>
        <w:rPr>
          <w:rFonts w:ascii="Malgun Gothic" w:hAnsi="Malgun Gothic" w:eastAsia="Malgun Gothic"/>
          <w:sz w:val="21"/>
        </w:rPr>
        <w:t>전문 수신 및 전문 파싱</w:t>
      </w:r>
    </w:p>
    <w:p>
      <w:pPr>
        <w:pStyle w:val="ListBullet"/>
        <w:spacing w:after="80" w:line="264" w:lineRule="auto"/>
      </w:pPr>
      <w:r>
        <w:rPr>
          <w:rFonts w:ascii="Malgun Gothic" w:hAnsi="Malgun Gothic" w:eastAsia="Malgun Gothic"/>
          <w:sz w:val="21"/>
        </w:rPr>
        <w:t>인증, 권한 확인, 공통 유효값 검증</w:t>
      </w:r>
    </w:p>
    <w:p>
      <w:pPr>
        <w:pStyle w:val="ListBullet"/>
        <w:spacing w:after="80" w:line="264" w:lineRule="auto"/>
      </w:pPr>
      <w:r>
        <w:rPr>
          <w:rFonts w:ascii="Malgun Gothic" w:hAnsi="Malgun Gothic" w:eastAsia="Malgun Gothic"/>
          <w:sz w:val="21"/>
        </w:rPr>
        <w:t>GUID, 추적 로그, 거래 로그 등 공통 로깅</w:t>
      </w:r>
    </w:p>
    <w:p>
      <w:pPr>
        <w:pStyle w:val="ListBullet"/>
        <w:spacing w:after="80" w:line="264" w:lineRule="auto"/>
      </w:pPr>
      <w:r>
        <w:rPr>
          <w:rFonts w:ascii="Malgun Gothic" w:hAnsi="Malgun Gothic" w:eastAsia="Malgun Gothic"/>
          <w:sz w:val="21"/>
        </w:rPr>
        <w:t>업무 로직 수행 및 RDW/DB 조회</w:t>
      </w:r>
    </w:p>
    <w:p>
      <w:pPr>
        <w:pStyle w:val="ListBullet"/>
        <w:spacing w:after="80" w:line="264" w:lineRule="auto"/>
      </w:pPr>
      <w:r>
        <w:rPr>
          <w:rFonts w:ascii="Malgun Gothic" w:hAnsi="Malgun Gothic" w:eastAsia="Malgun Gothic"/>
          <w:sz w:val="21"/>
        </w:rPr>
        <w:t>마스킹, 결과 조립, 전문 생성</w:t>
      </w:r>
    </w:p>
    <w:p>
      <w:pPr>
        <w:pStyle w:val="ListBullet"/>
        <w:spacing w:after="80" w:line="264" w:lineRule="auto"/>
      </w:pPr>
      <w:r>
        <w:rPr>
          <w:rFonts w:ascii="Malgun Gothic" w:hAnsi="Malgun Gothic" w:eastAsia="Malgun Gothic"/>
          <w:sz w:val="21"/>
        </w:rPr>
        <w:t>클라이언트 응답 반환</w:t>
      </w:r>
    </w:p>
    <w:p>
      <w:pPr>
        <w:spacing w:after="120" w:line="264" w:lineRule="auto"/>
      </w:pPr>
      <w:r>
        <w:rPr>
          <w:rFonts w:ascii="Malgun Gothic" w:hAnsi="Malgun Gothic" w:eastAsia="Malgun Gothic"/>
          <w:sz w:val="21"/>
        </w:rPr>
        <w:t>이 때문에 업무 TPS 1건은 벤치마크 TPS 1건과 동일하게 볼 수 없으며, 거래 유형별 보정계수를 적용해야 합니다.</w:t>
      </w:r>
    </w:p>
    <w:p>
      <w:pPr>
        <w:pStyle w:val="Heading1"/>
        <w:keepNext/>
      </w:pPr>
      <w:r>
        <w:rPr>
          <w:rFonts w:ascii="Malgun Gothic" w:hAnsi="Malgun Gothic" w:eastAsia="Malgun Gothic"/>
        </w:rPr>
        <w:t>4. 거래 유형별 환산 기준</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448"/>
        <w:gridCol w:w="2160"/>
        <w:gridCol w:w="4752"/>
      </w:tblGrid>
      <w:tr>
        <w:tc>
          <w:tcPr>
            <w:tcW w:type="dxa" w:w="2448"/>
            <w:vAlign w:val="center"/>
            <w:shd w:fill="F2F4F7"/>
          </w:tcPr>
          <w:p>
            <w:pPr>
              <w:jc w:val="center"/>
            </w:pPr>
            <w:r>
              <w:rPr>
                <w:rFonts w:ascii="Malgun Gothic" w:hAnsi="Malgun Gothic" w:eastAsia="Malgun Gothic"/>
                <w:b/>
                <w:color w:val="1F3A5F"/>
                <w:sz w:val="19"/>
              </w:rPr>
              <w:t>거래 유형</w:t>
            </w:r>
          </w:p>
        </w:tc>
        <w:tc>
          <w:tcPr>
            <w:tcW w:type="dxa" w:w="2160"/>
            <w:vAlign w:val="center"/>
            <w:shd w:fill="F2F4F7"/>
          </w:tcPr>
          <w:p>
            <w:pPr>
              <w:jc w:val="left"/>
            </w:pPr>
            <w:r>
              <w:rPr>
                <w:rFonts w:ascii="Malgun Gothic" w:hAnsi="Malgun Gothic" w:eastAsia="Malgun Gothic"/>
                <w:b/>
                <w:color w:val="1F3A5F"/>
                <w:sz w:val="19"/>
              </w:rPr>
              <w:t>1 TPS당 필요 TPMC</w:t>
            </w:r>
          </w:p>
        </w:tc>
        <w:tc>
          <w:tcPr>
            <w:tcW w:type="dxa" w:w="4752"/>
            <w:vAlign w:val="center"/>
            <w:shd w:fill="F2F4F7"/>
          </w:tcPr>
          <w:p>
            <w:pPr>
              <w:jc w:val="left"/>
            </w:pPr>
            <w:r>
              <w:rPr>
                <w:rFonts w:ascii="Malgun Gothic" w:hAnsi="Malgun Gothic" w:eastAsia="Malgun Gothic"/>
                <w:b/>
                <w:color w:val="1F3A5F"/>
                <w:sz w:val="19"/>
              </w:rPr>
              <w:t>적용 설명</w:t>
            </w:r>
          </w:p>
        </w:tc>
      </w:tr>
      <w:tr>
        <w:tc>
          <w:tcPr>
            <w:tcW w:type="dxa" w:w="2448"/>
            <w:vAlign w:val="center"/>
          </w:tcPr>
          <w:p>
            <w:pPr>
              <w:spacing w:after="40" w:line="264" w:lineRule="auto"/>
              <w:jc w:val="center"/>
            </w:pPr>
            <w:r>
              <w:rPr>
                <w:rFonts w:ascii="Malgun Gothic" w:hAnsi="Malgun Gothic" w:eastAsia="Malgun Gothic"/>
                <w:sz w:val="18"/>
              </w:rPr>
              <w:t>단순 API / DB 없음</w:t>
            </w:r>
          </w:p>
        </w:tc>
        <w:tc>
          <w:tcPr>
            <w:tcW w:type="dxa" w:w="2160"/>
            <w:vAlign w:val="center"/>
          </w:tcPr>
          <w:p>
            <w:pPr>
              <w:spacing w:after="40" w:line="264" w:lineRule="auto"/>
              <w:jc w:val="left"/>
            </w:pPr>
            <w:r>
              <w:rPr>
                <w:rFonts w:ascii="Malgun Gothic" w:hAnsi="Malgun Gothic" w:eastAsia="Malgun Gothic"/>
                <w:sz w:val="18"/>
              </w:rPr>
              <w:t>300~600</w:t>
            </w:r>
          </w:p>
        </w:tc>
        <w:tc>
          <w:tcPr>
            <w:tcW w:type="dxa" w:w="4752"/>
            <w:vAlign w:val="center"/>
          </w:tcPr>
          <w:p>
            <w:pPr>
              <w:spacing w:after="40" w:line="264" w:lineRule="auto"/>
              <w:jc w:val="left"/>
            </w:pPr>
            <w:r>
              <w:rPr>
                <w:rFonts w:ascii="Malgun Gothic" w:hAnsi="Malgun Gothic" w:eastAsia="Malgun Gothic"/>
                <w:sz w:val="18"/>
              </w:rPr>
              <w:t>전문 파싱, 인증, 로깅 중심의 경량 처리</w:t>
            </w:r>
          </w:p>
        </w:tc>
      </w:tr>
      <w:tr>
        <w:tc>
          <w:tcPr>
            <w:tcW w:type="dxa" w:w="2448"/>
            <w:vAlign w:val="center"/>
          </w:tcPr>
          <w:p>
            <w:pPr>
              <w:spacing w:after="40" w:line="264" w:lineRule="auto"/>
              <w:jc w:val="center"/>
            </w:pPr>
            <w:r>
              <w:rPr>
                <w:rFonts w:ascii="Malgun Gothic" w:hAnsi="Malgun Gothic" w:eastAsia="Malgun Gothic"/>
                <w:sz w:val="18"/>
              </w:rPr>
              <w:t>단순 조회</w:t>
            </w:r>
          </w:p>
        </w:tc>
        <w:tc>
          <w:tcPr>
            <w:tcW w:type="dxa" w:w="2160"/>
            <w:vAlign w:val="center"/>
          </w:tcPr>
          <w:p>
            <w:pPr>
              <w:spacing w:after="40" w:line="264" w:lineRule="auto"/>
              <w:jc w:val="left"/>
            </w:pPr>
            <w:r>
              <w:rPr>
                <w:rFonts w:ascii="Malgun Gothic" w:hAnsi="Malgun Gothic" w:eastAsia="Malgun Gothic"/>
                <w:sz w:val="18"/>
              </w:rPr>
              <w:t>600~1,200</w:t>
            </w:r>
          </w:p>
        </w:tc>
        <w:tc>
          <w:tcPr>
            <w:tcW w:type="dxa" w:w="4752"/>
            <w:vAlign w:val="center"/>
          </w:tcPr>
          <w:p>
            <w:pPr>
              <w:spacing w:after="40" w:line="264" w:lineRule="auto"/>
              <w:jc w:val="left"/>
            </w:pPr>
            <w:r>
              <w:rPr>
                <w:rFonts w:ascii="Malgun Gothic" w:hAnsi="Malgun Gothic" w:eastAsia="Malgun Gothic"/>
                <w:sz w:val="18"/>
              </w:rPr>
              <w:t>DB 1회 조회를 포함하는 단순 조회 거래</w:t>
            </w:r>
          </w:p>
        </w:tc>
      </w:tr>
      <w:tr>
        <w:tc>
          <w:tcPr>
            <w:tcW w:type="dxa" w:w="2448"/>
            <w:vAlign w:val="center"/>
          </w:tcPr>
          <w:p>
            <w:pPr>
              <w:spacing w:after="40" w:line="264" w:lineRule="auto"/>
              <w:jc w:val="center"/>
            </w:pPr>
            <w:r>
              <w:rPr>
                <w:rFonts w:ascii="Malgun Gothic" w:hAnsi="Malgun Gothic" w:eastAsia="Malgun Gothic"/>
                <w:sz w:val="18"/>
              </w:rPr>
              <w:t>일반 정보계 거래</w:t>
            </w:r>
          </w:p>
        </w:tc>
        <w:tc>
          <w:tcPr>
            <w:tcW w:type="dxa" w:w="2160"/>
            <w:vAlign w:val="center"/>
          </w:tcPr>
          <w:p>
            <w:pPr>
              <w:spacing w:after="40" w:line="264" w:lineRule="auto"/>
              <w:jc w:val="left"/>
            </w:pPr>
            <w:r>
              <w:rPr>
                <w:rFonts w:ascii="Malgun Gothic" w:hAnsi="Malgun Gothic" w:eastAsia="Malgun Gothic"/>
                <w:sz w:val="18"/>
              </w:rPr>
              <w:t>1,200~2,000</w:t>
            </w:r>
          </w:p>
        </w:tc>
        <w:tc>
          <w:tcPr>
            <w:tcW w:type="dxa" w:w="4752"/>
            <w:vAlign w:val="center"/>
          </w:tcPr>
          <w:p>
            <w:pPr>
              <w:spacing w:after="40" w:line="264" w:lineRule="auto"/>
              <w:jc w:val="left"/>
            </w:pPr>
            <w:r>
              <w:rPr>
                <w:rFonts w:ascii="Malgun Gothic" w:hAnsi="Malgun Gothic" w:eastAsia="Malgun Gothic"/>
                <w:sz w:val="18"/>
              </w:rPr>
              <w:t>인증, 권한, 검증, 로그, DB 조회 포함</w:t>
            </w:r>
          </w:p>
        </w:tc>
      </w:tr>
      <w:tr>
        <w:tc>
          <w:tcPr>
            <w:tcW w:type="dxa" w:w="2448"/>
            <w:vAlign w:val="center"/>
          </w:tcPr>
          <w:p>
            <w:pPr>
              <w:spacing w:after="40" w:line="264" w:lineRule="auto"/>
              <w:jc w:val="center"/>
            </w:pPr>
            <w:r>
              <w:rPr>
                <w:rFonts w:ascii="Malgun Gothic" w:hAnsi="Malgun Gothic" w:eastAsia="Malgun Gothic"/>
                <w:sz w:val="18"/>
              </w:rPr>
              <w:t>Single View 조회</w:t>
            </w:r>
          </w:p>
        </w:tc>
        <w:tc>
          <w:tcPr>
            <w:tcW w:type="dxa" w:w="2160"/>
            <w:vAlign w:val="center"/>
          </w:tcPr>
          <w:p>
            <w:pPr>
              <w:spacing w:after="40" w:line="264" w:lineRule="auto"/>
              <w:jc w:val="left"/>
            </w:pPr>
            <w:r>
              <w:rPr>
                <w:rFonts w:ascii="Malgun Gothic" w:hAnsi="Malgun Gothic" w:eastAsia="Malgun Gothic"/>
                <w:sz w:val="18"/>
              </w:rPr>
              <w:t>2,000~3,500</w:t>
            </w:r>
          </w:p>
        </w:tc>
        <w:tc>
          <w:tcPr>
            <w:tcW w:type="dxa" w:w="4752"/>
            <w:vAlign w:val="center"/>
          </w:tcPr>
          <w:p>
            <w:pPr>
              <w:spacing w:after="40" w:line="264" w:lineRule="auto"/>
              <w:jc w:val="left"/>
            </w:pPr>
            <w:r>
              <w:rPr>
                <w:rFonts w:ascii="Malgun Gothic" w:hAnsi="Malgun Gothic" w:eastAsia="Malgun Gothic"/>
                <w:sz w:val="18"/>
              </w:rPr>
              <w:t>다중 SQL, 마스킹, 결과 조립 포함</w:t>
            </w:r>
          </w:p>
        </w:tc>
      </w:tr>
      <w:tr>
        <w:tc>
          <w:tcPr>
            <w:tcW w:type="dxa" w:w="2448"/>
            <w:vAlign w:val="center"/>
          </w:tcPr>
          <w:p>
            <w:pPr>
              <w:spacing w:after="40" w:line="264" w:lineRule="auto"/>
              <w:jc w:val="center"/>
            </w:pPr>
            <w:r>
              <w:rPr>
                <w:rFonts w:ascii="Malgun Gothic" w:hAnsi="Malgun Gothic" w:eastAsia="Malgun Gothic"/>
                <w:sz w:val="18"/>
              </w:rPr>
              <w:t>CruzAPIM 연계 포함</w:t>
            </w:r>
          </w:p>
        </w:tc>
        <w:tc>
          <w:tcPr>
            <w:tcW w:type="dxa" w:w="2160"/>
            <w:vAlign w:val="center"/>
          </w:tcPr>
          <w:p>
            <w:pPr>
              <w:spacing w:after="40" w:line="264" w:lineRule="auto"/>
              <w:jc w:val="left"/>
            </w:pPr>
            <w:r>
              <w:rPr>
                <w:rFonts w:ascii="Malgun Gothic" w:hAnsi="Malgun Gothic" w:eastAsia="Malgun Gothic"/>
                <w:sz w:val="18"/>
              </w:rPr>
              <w:t>3,000~5,000</w:t>
            </w:r>
          </w:p>
        </w:tc>
        <w:tc>
          <w:tcPr>
            <w:tcW w:type="dxa" w:w="4752"/>
            <w:vAlign w:val="center"/>
          </w:tcPr>
          <w:p>
            <w:pPr>
              <w:spacing w:after="40" w:line="264" w:lineRule="auto"/>
              <w:jc w:val="left"/>
            </w:pPr>
            <w:r>
              <w:rPr>
                <w:rFonts w:ascii="Malgun Gothic" w:hAnsi="Malgun Gothic" w:eastAsia="Malgun Gothic"/>
                <w:sz w:val="18"/>
              </w:rPr>
              <w:t>외부 연계 및 대기 시간이 포함되는 거래</w:t>
            </w:r>
          </w:p>
        </w:tc>
      </w:tr>
      <w:tr>
        <w:tc>
          <w:tcPr>
            <w:tcW w:type="dxa" w:w="2448"/>
            <w:vAlign w:val="center"/>
          </w:tcPr>
          <w:p>
            <w:pPr>
              <w:spacing w:after="40" w:line="264" w:lineRule="auto"/>
              <w:jc w:val="center"/>
            </w:pPr>
            <w:r>
              <w:rPr>
                <w:rFonts w:ascii="Malgun Gothic" w:hAnsi="Malgun Gothic" w:eastAsia="Malgun Gothic"/>
                <w:sz w:val="18"/>
              </w:rPr>
              <w:t>복합 업무거래</w:t>
            </w:r>
          </w:p>
        </w:tc>
        <w:tc>
          <w:tcPr>
            <w:tcW w:type="dxa" w:w="2160"/>
            <w:vAlign w:val="center"/>
          </w:tcPr>
          <w:p>
            <w:pPr>
              <w:spacing w:after="40" w:line="264" w:lineRule="auto"/>
              <w:jc w:val="left"/>
            </w:pPr>
            <w:r>
              <w:rPr>
                <w:rFonts w:ascii="Malgun Gothic" w:hAnsi="Malgun Gothic" w:eastAsia="Malgun Gothic"/>
                <w:sz w:val="18"/>
              </w:rPr>
              <w:t>5,000 이상</w:t>
            </w:r>
          </w:p>
        </w:tc>
        <w:tc>
          <w:tcPr>
            <w:tcW w:type="dxa" w:w="4752"/>
            <w:vAlign w:val="center"/>
          </w:tcPr>
          <w:p>
            <w:pPr>
              <w:spacing w:after="40" w:line="264" w:lineRule="auto"/>
              <w:jc w:val="left"/>
            </w:pPr>
            <w:r>
              <w:rPr>
                <w:rFonts w:ascii="Malgun Gothic" w:hAnsi="Malgun Gothic" w:eastAsia="Malgun Gothic"/>
                <w:sz w:val="18"/>
              </w:rPr>
              <w:t>다중 DB, 다중 연계, 대량 결과 처리</w:t>
            </w:r>
          </w:p>
        </w:tc>
      </w:tr>
    </w:tbl>
    <w:p>
      <w:pPr>
        <w:pStyle w:val="Heading1"/>
        <w:keepNext/>
      </w:pPr>
      <w:r>
        <w:rPr>
          <w:rFonts w:ascii="Malgun Gothic" w:hAnsi="Malgun Gothic" w:eastAsia="Malgun Gothic"/>
        </w:rPr>
        <w:t>5. NSIGHT 기준 권장 환산값</w:t>
      </w:r>
    </w:p>
    <w:p>
      <w:pPr>
        <w:spacing w:after="120" w:line="264" w:lineRule="auto"/>
      </w:pPr>
      <w:r>
        <w:rPr>
          <w:rFonts w:ascii="Malgun Gothic" w:hAnsi="Malgun Gothic" w:eastAsia="Malgun Gothic"/>
          <w:sz w:val="21"/>
        </w:rPr>
        <w:t>NSIGHT 마케팅플랫폼 기준으로는 일반 AP와 Single View, 외부 연계 거래를 구분해 다음 범위를 적용하는 것이 현실적입니다.</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456"/>
        <w:gridCol w:w="5904"/>
      </w:tblGrid>
      <w:tr>
        <w:tc>
          <w:tcPr>
            <w:tcW w:type="dxa" w:w="3456"/>
            <w:vAlign w:val="center"/>
            <w:shd w:fill="F2F4F7"/>
          </w:tcPr>
          <w:p>
            <w:pPr>
              <w:jc w:val="center"/>
            </w:pPr>
            <w:r>
              <w:rPr>
                <w:rFonts w:ascii="Malgun Gothic" w:hAnsi="Malgun Gothic" w:eastAsia="Malgun Gothic"/>
                <w:b/>
                <w:color w:val="1F3A5F"/>
                <w:sz w:val="19"/>
              </w:rPr>
              <w:t>구분</w:t>
            </w:r>
          </w:p>
        </w:tc>
        <w:tc>
          <w:tcPr>
            <w:tcW w:type="dxa" w:w="5904"/>
            <w:vAlign w:val="center"/>
            <w:shd w:fill="F2F4F7"/>
          </w:tcPr>
          <w:p>
            <w:pPr>
              <w:jc w:val="left"/>
            </w:pPr>
            <w:r>
              <w:rPr>
                <w:rFonts w:ascii="Malgun Gothic" w:hAnsi="Malgun Gothic" w:eastAsia="Malgun Gothic"/>
                <w:b/>
                <w:color w:val="1F3A5F"/>
                <w:sz w:val="19"/>
              </w:rPr>
              <w:t>권장 환산값</w:t>
            </w:r>
          </w:p>
        </w:tc>
      </w:tr>
      <w:tr>
        <w:tc>
          <w:tcPr>
            <w:tcW w:type="dxa" w:w="3456"/>
            <w:vAlign w:val="center"/>
          </w:tcPr>
          <w:p>
            <w:pPr>
              <w:spacing w:after="40" w:line="264" w:lineRule="auto"/>
              <w:jc w:val="center"/>
            </w:pPr>
            <w:r>
              <w:rPr>
                <w:rFonts w:ascii="Malgun Gothic" w:hAnsi="Malgun Gothic" w:eastAsia="Malgun Gothic"/>
                <w:sz w:val="18"/>
              </w:rPr>
              <w:t>일반 마케팅 AP</w:t>
            </w:r>
          </w:p>
        </w:tc>
        <w:tc>
          <w:tcPr>
            <w:tcW w:type="dxa" w:w="5904"/>
            <w:vAlign w:val="center"/>
          </w:tcPr>
          <w:p>
            <w:pPr>
              <w:spacing w:after="40" w:line="264" w:lineRule="auto"/>
              <w:jc w:val="left"/>
            </w:pPr>
            <w:r>
              <w:rPr>
                <w:rFonts w:ascii="Malgun Gothic" w:hAnsi="Malgun Gothic" w:eastAsia="Malgun Gothic"/>
                <w:sz w:val="18"/>
              </w:rPr>
              <w:t>1 TPS당 1,500~2,000 TPMC</w:t>
            </w:r>
          </w:p>
        </w:tc>
      </w:tr>
      <w:tr>
        <w:tc>
          <w:tcPr>
            <w:tcW w:type="dxa" w:w="3456"/>
            <w:vAlign w:val="center"/>
          </w:tcPr>
          <w:p>
            <w:pPr>
              <w:spacing w:after="40" w:line="264" w:lineRule="auto"/>
              <w:jc w:val="center"/>
            </w:pPr>
            <w:r>
              <w:rPr>
                <w:rFonts w:ascii="Malgun Gothic" w:hAnsi="Malgun Gothic" w:eastAsia="Malgun Gothic"/>
                <w:sz w:val="18"/>
              </w:rPr>
              <w:t>Single View AP</w:t>
            </w:r>
          </w:p>
        </w:tc>
        <w:tc>
          <w:tcPr>
            <w:tcW w:type="dxa" w:w="5904"/>
            <w:vAlign w:val="center"/>
          </w:tcPr>
          <w:p>
            <w:pPr>
              <w:spacing w:after="40" w:line="264" w:lineRule="auto"/>
              <w:jc w:val="left"/>
            </w:pPr>
            <w:r>
              <w:rPr>
                <w:rFonts w:ascii="Malgun Gothic" w:hAnsi="Malgun Gothic" w:eastAsia="Malgun Gothic"/>
                <w:sz w:val="18"/>
              </w:rPr>
              <w:t>1 TPS당 2,000~3,000 TPMC</w:t>
            </w:r>
          </w:p>
        </w:tc>
      </w:tr>
      <w:tr>
        <w:tc>
          <w:tcPr>
            <w:tcW w:type="dxa" w:w="3456"/>
            <w:vAlign w:val="center"/>
          </w:tcPr>
          <w:p>
            <w:pPr>
              <w:spacing w:after="40" w:line="264" w:lineRule="auto"/>
              <w:jc w:val="center"/>
            </w:pPr>
            <w:r>
              <w:rPr>
                <w:rFonts w:ascii="Malgun Gothic" w:hAnsi="Malgun Gothic" w:eastAsia="Malgun Gothic"/>
                <w:sz w:val="18"/>
              </w:rPr>
              <w:t>CruzAPIM 연계 포함 거래</w:t>
            </w:r>
          </w:p>
        </w:tc>
        <w:tc>
          <w:tcPr>
            <w:tcW w:type="dxa" w:w="5904"/>
            <w:vAlign w:val="center"/>
          </w:tcPr>
          <w:p>
            <w:pPr>
              <w:spacing w:after="40" w:line="264" w:lineRule="auto"/>
              <w:jc w:val="left"/>
            </w:pPr>
            <w:r>
              <w:rPr>
                <w:rFonts w:ascii="Malgun Gothic" w:hAnsi="Malgun Gothic" w:eastAsia="Malgun Gothic"/>
                <w:sz w:val="18"/>
              </w:rPr>
              <w:t>1 TPS당 3,000~5,000 TPMC</w:t>
            </w:r>
          </w:p>
        </w:tc>
      </w:tr>
    </w:tbl>
    <w:p>
      <w:pPr>
        <w:pStyle w:val="Heading1"/>
        <w:keepNext/>
      </w:pPr>
      <w:r>
        <w:rPr>
          <w:rFonts w:ascii="Malgun Gothic" w:hAnsi="Malgun Gothic" w:eastAsia="Malgun Gothic"/>
        </w:rPr>
        <w:t>6. Core당 실효 TPS 산정</w:t>
      </w:r>
    </w:p>
    <w:p>
      <w:pPr>
        <w:spacing w:after="120" w:line="264" w:lineRule="auto"/>
      </w:pPr>
      <w:r>
        <w:rPr>
          <w:rFonts w:ascii="Malgun Gothic" w:hAnsi="Malgun Gothic" w:eastAsia="Malgun Gothic"/>
          <w:sz w:val="21"/>
        </w:rPr>
        <w:t>Core당 106,932 TPMC를 기준으로 업무 TPS당 소모 TPMC를 적용하면 다음과 같이 계산됩니다.</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880"/>
        <w:gridCol w:w="6480"/>
      </w:tblGrid>
      <w:tr>
        <w:tc>
          <w:tcPr>
            <w:tcW w:type="dxa" w:w="2880"/>
            <w:vAlign w:val="center"/>
            <w:shd w:fill="F2F4F7"/>
          </w:tcPr>
          <w:p>
            <w:pPr>
              <w:jc w:val="center"/>
            </w:pPr>
            <w:r>
              <w:rPr>
                <w:rFonts w:ascii="Malgun Gothic" w:hAnsi="Malgun Gothic" w:eastAsia="Malgun Gothic"/>
                <w:b/>
                <w:color w:val="1F3A5F"/>
                <w:sz w:val="19"/>
              </w:rPr>
              <w:t>산정 항목</w:t>
            </w:r>
          </w:p>
        </w:tc>
        <w:tc>
          <w:tcPr>
            <w:tcW w:type="dxa" w:w="6480"/>
            <w:vAlign w:val="center"/>
            <w:shd w:fill="F2F4F7"/>
          </w:tcPr>
          <w:p>
            <w:pPr>
              <w:jc w:val="left"/>
            </w:pPr>
            <w:r>
              <w:rPr>
                <w:rFonts w:ascii="Malgun Gothic" w:hAnsi="Malgun Gothic" w:eastAsia="Malgun Gothic"/>
                <w:b/>
                <w:color w:val="1F3A5F"/>
                <w:sz w:val="19"/>
              </w:rPr>
              <w:t>값 / 계산식</w:t>
            </w:r>
          </w:p>
        </w:tc>
      </w:tr>
      <w:tr>
        <w:tc>
          <w:tcPr>
            <w:tcW w:type="dxa" w:w="2880"/>
            <w:vAlign w:val="center"/>
          </w:tcPr>
          <w:p>
            <w:pPr>
              <w:spacing w:after="40" w:line="264" w:lineRule="auto"/>
              <w:jc w:val="center"/>
            </w:pPr>
            <w:r>
              <w:rPr>
                <w:rFonts w:ascii="Malgun Gothic" w:hAnsi="Malgun Gothic" w:eastAsia="Malgun Gothic"/>
                <w:sz w:val="18"/>
              </w:rPr>
              <w:t>일반 마케팅 AP 기준</w:t>
            </w:r>
          </w:p>
        </w:tc>
        <w:tc>
          <w:tcPr>
            <w:tcW w:type="dxa" w:w="6480"/>
            <w:vAlign w:val="center"/>
          </w:tcPr>
          <w:p>
            <w:pPr>
              <w:spacing w:after="40" w:line="264" w:lineRule="auto"/>
              <w:jc w:val="left"/>
            </w:pPr>
            <w:r>
              <w:rPr>
                <w:rFonts w:ascii="Malgun Gothic" w:hAnsi="Malgun Gothic" w:eastAsia="Malgun Gothic"/>
                <w:sz w:val="18"/>
              </w:rPr>
              <w:t>106,932 ÷ 2,000 = 약 53 TPS/Core</w:t>
            </w:r>
          </w:p>
        </w:tc>
      </w:tr>
      <w:tr>
        <w:tc>
          <w:tcPr>
            <w:tcW w:type="dxa" w:w="2880"/>
            <w:vAlign w:val="center"/>
          </w:tcPr>
          <w:p>
            <w:pPr>
              <w:spacing w:after="40" w:line="264" w:lineRule="auto"/>
              <w:jc w:val="center"/>
            </w:pPr>
            <w:r>
              <w:rPr>
                <w:rFonts w:ascii="Malgun Gothic" w:hAnsi="Malgun Gothic" w:eastAsia="Malgun Gothic"/>
                <w:sz w:val="18"/>
              </w:rPr>
              <w:t>보수 기준</w:t>
            </w:r>
          </w:p>
        </w:tc>
        <w:tc>
          <w:tcPr>
            <w:tcW w:type="dxa" w:w="6480"/>
            <w:vAlign w:val="center"/>
          </w:tcPr>
          <w:p>
            <w:pPr>
              <w:spacing w:after="40" w:line="264" w:lineRule="auto"/>
              <w:jc w:val="left"/>
            </w:pPr>
            <w:r>
              <w:rPr>
                <w:rFonts w:ascii="Malgun Gothic" w:hAnsi="Malgun Gothic" w:eastAsia="Malgun Gothic"/>
                <w:sz w:val="18"/>
              </w:rPr>
              <w:t>106,932 ÷ 3,000 = 약 35 TPS/Core</w:t>
            </w:r>
          </w:p>
        </w:tc>
      </w:tr>
      <w:tr>
        <w:tc>
          <w:tcPr>
            <w:tcW w:type="dxa" w:w="2880"/>
            <w:vAlign w:val="center"/>
          </w:tcPr>
          <w:p>
            <w:pPr>
              <w:spacing w:after="40" w:line="264" w:lineRule="auto"/>
              <w:jc w:val="center"/>
            </w:pPr>
            <w:r>
              <w:rPr>
                <w:rFonts w:ascii="Malgun Gothic" w:hAnsi="Malgun Gothic" w:eastAsia="Malgun Gothic"/>
                <w:sz w:val="18"/>
              </w:rPr>
              <w:t>매우 보수 기준</w:t>
            </w:r>
          </w:p>
        </w:tc>
        <w:tc>
          <w:tcPr>
            <w:tcW w:type="dxa" w:w="6480"/>
            <w:vAlign w:val="center"/>
          </w:tcPr>
          <w:p>
            <w:pPr>
              <w:spacing w:after="40" w:line="264" w:lineRule="auto"/>
              <w:jc w:val="left"/>
            </w:pPr>
            <w:r>
              <w:rPr>
                <w:rFonts w:ascii="Malgun Gothic" w:hAnsi="Malgun Gothic" w:eastAsia="Malgun Gothic"/>
                <w:sz w:val="18"/>
              </w:rPr>
              <w:t>106,932 ÷ 4,000 = 약 26 TPS/Core</w:t>
            </w:r>
          </w:p>
        </w:tc>
      </w:tr>
    </w:tbl>
    <w:p/>
    <w:p>
      <w:pPr>
        <w:spacing w:after="120" w:line="264" w:lineRule="auto"/>
      </w:pPr>
      <w:r>
        <w:rPr>
          <w:rFonts w:ascii="Malgun Gothic" w:hAnsi="Malgun Gothic" w:eastAsia="Malgun Gothic"/>
          <w:sz w:val="21"/>
        </w:rPr>
        <w:t>보고서 산정값으로는 2,500~3,500 TPMC/TPS 범위를 적용해 약 30~43 TPS/Core를 기준 범위로 제시하고, 계획 수립에는 30~40 TPS/Core를 사용하는 것이 적절합니다.</w:t>
      </w:r>
    </w:p>
    <w:p>
      <w:pPr>
        <w:pStyle w:val="Heading1"/>
        <w:keepNext/>
      </w:pPr>
      <w:r>
        <w:rPr>
          <w:rFonts w:ascii="Malgun Gothic" w:hAnsi="Malgun Gothic" w:eastAsia="Malgun Gothic"/>
        </w:rPr>
        <w:t>7. 보고서 기재 문안</w:t>
      </w:r>
    </w:p>
    <w:p>
      <w:pPr>
        <w:spacing w:after="120" w:line="264" w:lineRule="auto"/>
      </w:pPr>
      <w:r>
        <w:rPr>
          <w:rFonts w:ascii="Malgun Gothic" w:hAnsi="Malgun Gothic" w:eastAsia="Malgun Gothic"/>
          <w:sz w:val="21"/>
        </w:rPr>
        <w:t>Core당 106,932 TPMC의 이론 성능을 보유하더라도, Spring Boot 기반 정보계 거래는 전문 파싱, 인증·권한, 유효값 검증, 공통 로깅, DB 조회, 마스킹, 전문 조립 등의 처리 단계를 포함한다. 따라서 업무 TPS 1건당 약 2,500~3,500 TPMC 수준의 성능 소모를 적용하는 것이 현실적이며, 이에 따라 Core당 실효 처리량은 약 30~40 TPS로 산정하는 것이 적정하다.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