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Noto Sans CJK KR" w:hAnsi="Noto Sans CJK KR" w:eastAsia="Noto Sans CJK KR"/>
          <w:b/>
          <w:color w:val="1F4E79"/>
          <w:sz w:val="52"/>
        </w:rPr>
        <w:t>NSIGHT TCF Framework</w:t>
      </w:r>
    </w:p>
    <w:p>
      <w:pPr>
        <w:jc w:val="center"/>
      </w:pPr>
      <w:r>
        <w:rPr>
          <w:rFonts w:ascii="Noto Sans CJK KR" w:hAnsi="Noto Sans CJK KR" w:eastAsia="Noto Sans CJK KR"/>
          <w:b/>
          <w:color w:val="1F4E79"/>
          <w:sz w:val="46"/>
        </w:rPr>
        <w:t>아키텍처·기술 마스터 가이드</w:t>
      </w:r>
    </w:p>
    <w:p>
      <w:pPr>
        <w:jc w:val="center"/>
      </w:pPr>
      <w:r>
        <w:rPr>
          <w:rFonts w:ascii="Noto Sans CJK KR" w:hAnsi="Noto Sans CJK KR" w:eastAsia="Noto Sans CJK KR"/>
          <w:color w:val="5A5A5A"/>
          <w:sz w:val="26"/>
        </w:rPr>
        <w:t>완전 개발 가이드 기반 · 마스터급 설계 해설서</w:t>
      </w:r>
    </w:p>
    <w:tbl>
      <w:tblPr>
        <w:tblStyle w:val="TableGrid"/>
        <w:tblW w:type="auto" w:w="0"/>
        <w:jc w:val="center"/>
        <w:tblLook w:firstColumn="1" w:firstRow="1" w:lastColumn="0" w:lastRow="0" w:noHBand="0" w:noVBand="1" w:val="04A0"/>
      </w:tblPr>
      <w:tblGrid>
        <w:gridCol w:w="5131"/>
        <w:gridCol w:w="5131"/>
      </w:tblGrid>
      <w:tr>
        <w:tc>
          <w:tcPr>
            <w:tcW w:type="dxa" w:w="1928"/>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문서 성격</w:t>
            </w:r>
          </w:p>
        </w:tc>
        <w:tc>
          <w:tcPr>
            <w:tcW w:type="dxa" w:w="7597"/>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개발 가이드의 구조와 세부 기준을 아키텍처 의사결정·운영 통제·기술 표준 관점으로 재구성한 마스터 문서</w:t>
            </w:r>
          </w:p>
        </w:tc>
      </w:tr>
      <w:tr>
        <w:tc>
          <w:tcPr>
            <w:tcW w:type="dxa" w:w="1928"/>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대상 독자</w:t>
            </w:r>
          </w:p>
        </w:tc>
        <w:tc>
          <w:tcPr>
            <w:tcW w:type="dxa" w:w="7597"/>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Enterprise Architect, Platform Architect, Tech Lead, OM/운영 책임자, DevOps/품질 책임자</w:t>
            </w:r>
          </w:p>
        </w:tc>
      </w:tr>
      <w:tr>
        <w:tc>
          <w:tcPr>
            <w:tcW w:type="dxa" w:w="1928"/>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기술 기준</w:t>
            </w:r>
          </w:p>
        </w:tc>
        <w:tc>
          <w:tcPr>
            <w:tcW w:type="dxa" w:w="7597"/>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Java 21 · Spring Boot 3.3 · Gradle · MyBatis · TCF/STF/ETF · Gateway/JWT/OM</w:t>
            </w:r>
          </w:p>
        </w:tc>
      </w:tr>
      <w:tr>
        <w:tc>
          <w:tcPr>
            <w:tcW w:type="dxa" w:w="1928"/>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기준일</w:t>
            </w:r>
          </w:p>
        </w:tc>
        <w:tc>
          <w:tcPr>
            <w:tcW w:type="dxa" w:w="7597"/>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2026-07-07</w:t>
            </w:r>
          </w:p>
        </w:tc>
      </w:tr>
      <w:tr>
        <w:tc>
          <w:tcPr>
            <w:tcW w:type="dxa" w:w="1928"/>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작성 기준</w:t>
            </w:r>
          </w:p>
        </w:tc>
        <w:tc>
          <w:tcPr>
            <w:tcW w:type="dxa" w:w="7597"/>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NSIGHT 후속 프로젝트 설계서 수준: 도입 전 안내말 · 본문 · 시사점 · 마무리말</w:t>
            </w:r>
          </w:p>
        </w:tc>
      </w:tr>
    </w:tbl>
    <w:p>
      <w:pPr>
        <w:jc w:val="center"/>
      </w:pPr>
      <w:r>
        <w:rPr>
          <w:rFonts w:ascii="Noto Sans CJK KR" w:hAnsi="Noto Sans CJK KR" w:eastAsia="Noto Sans CJK KR"/>
          <w:color w:val="6E6E6E"/>
          <w:sz w:val="17"/>
        </w:rPr>
        <w:br/>
        <w:t>본 문서는 원본 Word 개발 가이드를 읽고, 아키텍처와 기술 리더가 검토할 수 있도록 재작성한 산출물입니다.</w:t>
      </w:r>
    </w:p>
    <w:p>
      <w:r>
        <w:rPr>
          <w:rFonts w:ascii="Noto Sans CJK KR" w:hAnsi="Noto Sans CJK KR" w:eastAsia="Noto Sans CJK KR"/>
        </w:rPr>
        <w:br w:type="page"/>
      </w:r>
    </w:p>
    <w:p>
      <w:pPr>
        <w:pStyle w:val="Heading1"/>
      </w:pPr>
      <w:r>
        <w:rPr>
          <w:rFonts w:ascii="Noto Sans CJK KR" w:hAnsi="Noto Sans CJK KR" w:eastAsia="Noto Sans CJK KR"/>
          <w:b/>
        </w:rPr>
        <w:t>문서 이력 및 목차</w:t>
      </w:r>
    </w:p>
    <w:tbl>
      <w:tblPr>
        <w:tblStyle w:val="TableGrid"/>
        <w:tblW w:type="auto" w:w="0"/>
        <w:jc w:val="center"/>
        <w:tblLook w:firstColumn="1" w:firstRow="1" w:lastColumn="0" w:lastRow="0" w:noHBand="0" w:noVBand="1" w:val="04A0"/>
      </w:tblPr>
      <w:tblGrid>
        <w:gridCol w:w="5131"/>
        <w:gridCol w:w="5131"/>
      </w:tblGrid>
      <w:tr>
        <w:tc>
          <w:tcPr>
            <w:tcW w:type="dxa" w:w="513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구분</w:t>
            </w:r>
          </w:p>
        </w:tc>
        <w:tc>
          <w:tcPr>
            <w:tcW w:type="dxa" w:w="513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내용</w:t>
            </w:r>
          </w:p>
        </w:tc>
      </w:tr>
      <w:tr>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원본 파일</w:t>
            </w:r>
          </w:p>
        </w:tc>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NSIGHT_TCF_Framework_완전_개발_가이드.docx</w:t>
            </w:r>
          </w:p>
        </w:tc>
      </w:tr>
      <w:tr>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원본 구조</w:t>
            </w:r>
          </w:p>
        </w:tc>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본문 32장, 부록 14개, 문단 2,672개, 표 481개</w:t>
            </w:r>
          </w:p>
        </w:tc>
      </w:tr>
      <w:tr>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재작성 방향</w:t>
            </w:r>
          </w:p>
        </w:tc>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개발 절차 중심 문서를 아키텍처 판단·기술 책임 경계·운영 통제·보안·품질 속성 중심 문서로 재구성</w:t>
            </w:r>
          </w:p>
        </w:tc>
      </w:tr>
      <w:tr>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산출물 형태</w:t>
            </w:r>
          </w:p>
        </w:tc>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Word(.docx) 마스터 가이드</w:t>
            </w:r>
          </w:p>
        </w:tc>
      </w:tr>
    </w:tbl>
    <w:p/>
    <w:tbl>
      <w:tblPr>
        <w:tblStyle w:val="TableGrid"/>
        <w:tblW w:type="auto" w:w="0"/>
        <w:jc w:val="center"/>
        <w:tblLook w:firstColumn="1" w:firstRow="1" w:lastColumn="0" w:lastRow="0" w:noHBand="0" w:noVBand="1" w:val="04A0"/>
      </w:tblPr>
      <w:tblGrid>
        <w:gridCol w:w="5131"/>
        <w:gridCol w:w="5131"/>
      </w:tblGrid>
      <w:tr>
        <w:tc>
          <w:tcPr>
            <w:tcW w:type="dxa" w:w="513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대분류</w:t>
            </w:r>
          </w:p>
        </w:tc>
        <w:tc>
          <w:tcPr>
            <w:tcW w:type="dxa" w:w="513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주요 내용</w:t>
            </w:r>
          </w:p>
        </w:tc>
      </w:tr>
      <w:tr>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1. 도입 전 안내말</w:t>
            </w:r>
          </w:p>
        </w:tc>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문서 목적, 원본 분석 결과, 마스터급 독자 관점, 읽는 방법</w:t>
            </w:r>
          </w:p>
        </w:tc>
      </w:tr>
      <w:tr>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2. 본문</w:t>
            </w:r>
          </w:p>
        </w:tc>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Reference Architecture, Runtime Pipeline, ServiceId Governance, 6계층, 인증·보안, OM, 데이터, 배포·운영, 품질 속성, Gap/Roadmap</w:t>
            </w:r>
          </w:p>
        </w:tc>
      </w:tr>
      <w:tr>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3. 시사점</w:t>
            </w:r>
          </w:p>
        </w:tc>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TCF를 단순 프레임워크가 아닌 운영 가능한 아키텍처 체계로 해석하기 위한 핵심 관점</w:t>
            </w:r>
          </w:p>
        </w:tc>
      </w:tr>
      <w:tr>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4. 마무리말</w:t>
            </w:r>
          </w:p>
        </w:tc>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최종 설계 원칙, 의사결정 기준, 후속 보완 방향</w:t>
            </w:r>
          </w:p>
        </w:tc>
      </w:tr>
    </w:tbl>
    <w:p/>
    <w:p>
      <w:r>
        <w:rPr>
          <w:rFonts w:ascii="Noto Sans CJK KR" w:hAnsi="Noto Sans CJK KR" w:eastAsia="Noto Sans CJK KR"/>
        </w:rPr>
        <w:br w:type="page"/>
      </w:r>
    </w:p>
    <w:p>
      <w:pPr>
        <w:pStyle w:val="Heading1"/>
      </w:pPr>
      <w:r>
        <w:rPr>
          <w:rFonts w:ascii="Noto Sans CJK KR" w:hAnsi="Noto Sans CJK KR" w:eastAsia="Noto Sans CJK KR"/>
          <w:b/>
        </w:rPr>
        <w:t>1. 도입 전 안내말</w:t>
      </w:r>
    </w:p>
    <w:p>
      <w:pPr>
        <w:pStyle w:val="Heading2"/>
      </w:pPr>
      <w:r>
        <w:rPr>
          <w:rFonts w:ascii="Noto Sans CJK KR" w:hAnsi="Noto Sans CJK KR" w:eastAsia="Noto Sans CJK KR"/>
          <w:b/>
        </w:rPr>
        <w:t>1.1 문서 작성 목적</w:t>
      </w:r>
    </w:p>
    <w:p>
      <w:r>
        <w:rPr>
          <w:rFonts w:ascii="Noto Sans CJK KR" w:hAnsi="Noto Sans CJK KR" w:eastAsia="Noto Sans CJK KR"/>
        </w:rPr>
        <w:t>이 문서는 업로드된 NSIGHT TCF Framework 완전 개발 가이드를 기반으로, 개발자가 그대로 따라 하는 절차서가 아니라 아키텍트와 기술 리더가 설계 판단을 내릴 수 있는 마스터급 기술 문서로 재작성한 것이다. 원본 문서가 32장 본문과 14개 부록으로 개발 표준, 명명규칙, 거래 개발, 보안, OM, 배포, 테스트를 폭넓게 다룬다면, 본 문서는 그 내용을 “어떤 책임을 어디에 둘 것인가”, “운영 중 정책을 어떻게 통제할 것인가”, “장애 시 어떤 키로 어디까지 추적할 것인가”라는 아키텍처 질문으로 재구성한다.</w:t>
      </w:r>
    </w:p>
    <w:p>
      <w:r>
        <w:rPr>
          <w:rFonts w:ascii="Noto Sans CJK KR" w:hAnsi="Noto Sans CJK KR" w:eastAsia="Noto Sans CJK KR"/>
        </w:rPr>
        <w:t>NSIGHT TCF의 핵심은 개별 업무 프로그램을 빠르게 작성하는 데서 끝나지 않는다. 모든 온라인 거래가 ServiceId, 거래코드, 표준 Header, TransactionContext, OM 정책, 거래로그, 감사로그와 연결되어야 하며, 이 연결 고리가 유지되어야만 운영 가능한 플랫폼이 된다.</w:t>
      </w:r>
    </w:p>
    <w:tbl>
      <w:tblPr>
        <w:tblW w:type="auto" w:w="0"/>
        <w:tblLook w:firstColumn="1" w:firstRow="1" w:lastColumn="0" w:lastRow="0" w:noHBand="0" w:noVBand="1" w:val="04A0"/>
      </w:tblPr>
      <w:tblGrid>
        <w:gridCol w:w="10262"/>
      </w:tblGrid>
      <w:tr>
        <w:tc>
          <w:tcPr>
            <w:tcW w:type="dxa" w:w="10262"/>
            <w:shd w:fill="EAF2F8"/>
            <w:tcBorders>
              <w:top w:sz="8" w:val="single" w:color="5B9BD5"/>
              <w:left w:sz="8" w:val="single" w:color="5B9BD5"/>
              <w:bottom w:sz="8" w:val="single" w:color="5B9BD5"/>
              <w:right w:sz="8" w:val="single" w:color="5B9BD5"/>
            </w:tcBorders>
          </w:tcPr>
          <w:p>
            <w:r>
              <w:rPr>
                <w:rFonts w:ascii="Noto Sans CJK KR" w:hAnsi="Noto Sans CJK KR" w:eastAsia="Noto Sans CJK KR"/>
                <w:b/>
                <w:color w:val="1F4E79"/>
                <w:sz w:val="19"/>
              </w:rPr>
              <w:t>마스터급 독자 관점</w:t>
              <w:br/>
            </w:r>
            <w:r>
              <w:rPr>
                <w:rFonts w:ascii="Noto Sans CJK KR" w:hAnsi="Noto Sans CJK KR" w:eastAsia="Noto Sans CJK KR"/>
                <w:sz w:val="17"/>
              </w:rPr>
              <w:t>본 문서는 “이 기능을 어떻게 코딩하는가”보다 “이 기능이 전체 플랫폼의 책임 경계, 보안 경계, 장애 추적성, 운영 통제성에 어떤 의미를 갖는가”를 중심으로 작성한다.</w:t>
            </w:r>
          </w:p>
        </w:tc>
      </w:tr>
    </w:tbl>
    <w:p/>
    <w:p>
      <w:pPr>
        <w:pStyle w:val="Heading2"/>
      </w:pPr>
      <w:r>
        <w:rPr>
          <w:rFonts w:ascii="Noto Sans CJK KR" w:hAnsi="Noto Sans CJK KR" w:eastAsia="Noto Sans CJK KR"/>
          <w:b/>
        </w:rPr>
        <w:t>1.2 원본 문서 분석 결과</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항목</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분석 결과</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아키텍처적 의미</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문서 구조</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본문 32장 + 부록 14개</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개발 표준서, 운영 가이드, 모듈 레퍼런스, 체크리스트가 하나의 지식 체계로 통합되어 있음</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문단/표 규모</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문단 2,672개, 표 481개</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단순 설명서가 아니라 표준 정책과 검증 항목 중심으로 작성된 통제 문서 성격</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핵심 기술 스택</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Java 21, Spring Boot 3.3, Gradle, MyBatis, TCF/STF/ETF</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프레임워크 코어와 업무 WAR가 분리되는 Java 기반 엔터프라이즈 아키텍처</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주요 구조</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GSLB → Gateway → 업무 WAR → TCF → Handler → Facade → Service → Rule → DAO/Mapper</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네트워크 경계, 보안 경계, 애플리케이션 계층 경계가 명확해야 함</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운영 축</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OM Service Catalog, 거래통제, Timeout, 공통코드, 오류코드, 배포관리, 환경설정</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코드 배포 없이 운영 정책을 통제하는 Control Plane 성격</w:t>
            </w:r>
          </w:p>
        </w:tc>
      </w:tr>
    </w:tbl>
    <w:p/>
    <w:p>
      <w:pPr>
        <w:pStyle w:val="Heading2"/>
      </w:pPr>
      <w:r>
        <w:rPr>
          <w:rFonts w:ascii="Noto Sans CJK KR" w:hAnsi="Noto Sans CJK KR" w:eastAsia="Noto Sans CJK KR"/>
          <w:b/>
        </w:rPr>
        <w:t>1.3 이 문서의 사용 방법</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독자</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읽어야 할 관점</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중점 확인 항목</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Enterprise Architect</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플랫폼 표준성, 시스템 간 책임 경계, 확장 로드맵</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Reference Architecture, Gap/Roadmap, RACI, ADR</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Platform Architect</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TCF/STF/ETF, Dispatcher, Gateway, OM, JWT, Session 구조</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Runtime Pipeline, 인증 경계, OM 정책 반영 흐름</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Tech Lead</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 WAR 개발 표준, 6계층 구조, DTO/Mapper/SQL 기준</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ServiceId Governance, Handler~Mapper 책임 경계</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운영/OM 책임자</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서비스 등록, 거래통제, Timeout, 장애 추적, 감사</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OM Control Plane, 로그/감사, 운영 시나리오</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DevOps/품질 책임자</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빌드·배포·롤백·DR·테스트 게이트</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CI/CD, 운영전환 체크리스트, 성능/장애 검증</w:t>
            </w:r>
          </w:p>
        </w:tc>
      </w:tr>
    </w:tbl>
    <w:p/>
    <w:p>
      <w:pPr>
        <w:pStyle w:val="Heading2"/>
      </w:pPr>
      <w:r>
        <w:rPr>
          <w:rFonts w:ascii="Noto Sans CJK KR" w:hAnsi="Noto Sans CJK KR" w:eastAsia="Noto Sans CJK KR"/>
          <w:b/>
        </w:rPr>
        <w:t>1.4 문서 전제와 비전제</w:t>
      </w:r>
    </w:p>
    <w:tbl>
      <w:tblPr>
        <w:tblStyle w:val="TableGrid"/>
        <w:tblW w:type="auto" w:w="0"/>
        <w:jc w:val="center"/>
        <w:tblLook w:firstColumn="1" w:firstRow="1" w:lastColumn="0" w:lastRow="0" w:noHBand="0" w:noVBand="1" w:val="04A0"/>
      </w:tblPr>
      <w:tblGrid>
        <w:gridCol w:w="5131"/>
        <w:gridCol w:w="5131"/>
      </w:tblGrid>
      <w:tr>
        <w:tc>
          <w:tcPr>
            <w:tcW w:type="dxa" w:w="513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구분</w:t>
            </w:r>
          </w:p>
        </w:tc>
        <w:tc>
          <w:tcPr>
            <w:tcW w:type="dxa" w:w="513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내용</w:t>
            </w:r>
          </w:p>
        </w:tc>
      </w:tr>
      <w:tr>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전제</w:t>
            </w:r>
          </w:p>
        </w:tc>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외부 요청은 Gateway를 통과하고, 업무 요청은 표준 Online Endpoint로 진입하며, ServiceId가 거래 식별자의 중심이 된다.</w:t>
            </w:r>
          </w:p>
        </w:tc>
      </w:tr>
      <w:tr>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전제</w:t>
            </w:r>
          </w:p>
        </w:tc>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 로직은 Handler → Facade → Service → Rule → DAO/Mapper의 6계층 책임을 따른다.</w:t>
            </w:r>
          </w:p>
        </w:tc>
      </w:tr>
      <w:tr>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전제</w:t>
            </w:r>
          </w:p>
        </w:tc>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운영 정책은 OM 기준정보로 관리하고, 런타임은 필요한 정책을 캐시 또는 조회하여 적용한다.</w:t>
            </w:r>
          </w:p>
        </w:tc>
      </w:tr>
      <w:tr>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비전제</w:t>
            </w:r>
          </w:p>
        </w:tc>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이 문서는 특정 업무 화면의 상세 UI 설계서가 아니며, 개별 업무 요건 정의서를 대체하지 않는다.</w:t>
            </w:r>
          </w:p>
        </w:tc>
      </w:tr>
      <w:tr>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비전제</w:t>
            </w:r>
          </w:p>
        </w:tc>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DB 물리 모델의 최종 DDL 승인 문서가 아니라, TCF 관점의 데이터 책임 경계와 명명·추적 기준을 제시한다.</w:t>
            </w:r>
          </w:p>
        </w:tc>
      </w:tr>
    </w:tbl>
    <w:p/>
    <w:p>
      <w:r>
        <w:rPr>
          <w:rFonts w:ascii="Noto Sans CJK KR" w:hAnsi="Noto Sans CJK KR" w:eastAsia="Noto Sans CJK KR"/>
        </w:rPr>
        <w:br w:type="page"/>
      </w:r>
    </w:p>
    <w:p>
      <w:pPr>
        <w:pStyle w:val="Heading1"/>
      </w:pPr>
      <w:r>
        <w:rPr>
          <w:rFonts w:ascii="Noto Sans CJK KR" w:hAnsi="Noto Sans CJK KR" w:eastAsia="Noto Sans CJK KR"/>
          <w:b/>
        </w:rPr>
        <w:t>2. 본문</w:t>
      </w:r>
    </w:p>
    <w:p>
      <w:pPr>
        <w:pStyle w:val="Heading2"/>
      </w:pPr>
      <w:r>
        <w:rPr>
          <w:rFonts w:ascii="Noto Sans CJK KR" w:hAnsi="Noto Sans CJK KR" w:eastAsia="Noto Sans CJK KR"/>
          <w:b/>
        </w:rPr>
        <w:t>2.1 NSIGHT TCF의 아키텍처 사상</w:t>
      </w:r>
    </w:p>
    <w:p>
      <w:r>
        <w:rPr>
          <w:rFonts w:ascii="Noto Sans CJK KR" w:hAnsi="Noto Sans CJK KR" w:eastAsia="Noto Sans CJK KR"/>
        </w:rPr>
        <w:t>TCF는 단순 공통 라이브러리가 아니라 온라인 거래를 표준 방식으로 접수하고, 통제하고, 실행하고, 기록하고, 운영자가 사후 분석할 수 있게 만드는 애플리케이션 실행 체계다. 따라서 TCF를 이해할 때는 “공통 함수 묶음”이 아니라 “업무 거래의 런타임 운영 체계”로 보아야 한다.</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아키텍처 원칙</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정의</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설계 판단 기준</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ServiceId 중심성</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모든 업무 거래는 ServiceId로 식별된다.</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Controller URL이나 Java 클래스명이 아니라 ServiceId가 거래 계약의 기준이어야 한다.</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단일 Online Endpoint</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업무별 REST Controller 난립을 피하고 표준 Endpoint로 진입한다.</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보안, 로그, Timeout, 거래통제를 누락 없이 공통 적용할 수 있다.</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공통 파이프라인</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STF와 ETF가 전·후처리 책임을 가진다.</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개발자는 업무 로직에 집중하고, 공통 품질 속성은 프레임워크가 처리한다.</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6계층 책임 분리</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Handler, Facade, Service, Rule, DAO, Mapper가 독립 책임을 가진다.</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 판단, 유스케이스 조립, SQL 실행, 트랜잭션 경계를 혼합하지 않는다.</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OM 기반 운영 통제</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거래 허용/차단, Timeout, 오류코드, 공통코드, 권한을 운영 기준정보로 관리한다.</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정책 변경을 소스 수정과 배포에 종속시키지 않는다.</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Gateway 우선 보안</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외부 요청 인증과 라우팅은 Gateway가 1차 책임을 가진다.</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 WAR는 직접 외부 노출을 피하고 표준 Header와 Context를 신뢰한다.</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추적성 우선</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GUID, TRACE_ID, SERVICE_ID, USER_ID를 거래 전 과정에 유지한다.</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장애 분석은 화면이나 사용자 진술이 아니라 추적 키 기반으로 수행한다.</w:t>
            </w:r>
          </w:p>
        </w:tc>
      </w:tr>
    </w:tbl>
    <w:p/>
    <w:tbl>
      <w:tblPr>
        <w:tblW w:type="auto" w:w="0"/>
        <w:jc w:val="center"/>
        <w:tblLook w:firstColumn="1" w:firstRow="1" w:lastColumn="0" w:lastRow="0" w:noHBand="0" w:noVBand="1" w:val="04A0"/>
      </w:tblPr>
      <w:tblGrid>
        <w:gridCol w:w="10262"/>
      </w:tblGrid>
      <w:tr>
        <w:tc>
          <w:tcPr>
            <w:tcW w:type="dxa" w:w="10262"/>
            <w:shd w:fill="F2F2F2"/>
            <w:tcBorders>
              <w:top w:sz="4" w:val="single" w:color="BFBFBF"/>
              <w:left w:sz="4" w:val="single" w:color="BFBFBF"/>
              <w:bottom w:sz="4" w:val="single" w:color="BFBFBF"/>
              <w:right w:sz="4" w:val="single" w:color="BFBFBF"/>
            </w:tcBorders>
          </w:tcPr>
          <w:p>
            <w:pPr>
              <w:spacing w:before="40" w:after="40"/>
            </w:pPr>
            <w:r>
              <w:rPr>
                <w:rFonts w:ascii="Noto Sans Mono CJK KR" w:hAnsi="Noto Sans Mono CJK KR" w:eastAsia="Noto Sans Mono CJK KR"/>
                <w:sz w:val="15"/>
              </w:rPr>
              <w:t>NSIGHT TCF Architecture Axioms</w:t>
            </w:r>
            <w:r>
              <w:br/>
            </w:r>
            <w:r>
              <w:rPr>
                <w:rFonts w:ascii="Noto Sans Mono CJK KR" w:hAnsi="Noto Sans Mono CJK KR" w:eastAsia="Noto Sans Mono CJK KR"/>
                <w:sz w:val="15"/>
              </w:rPr>
            </w:r>
            <w:r>
              <w:br/>
            </w:r>
            <w:r>
              <w:rPr>
                <w:rFonts w:ascii="Noto Sans Mono CJK KR" w:hAnsi="Noto Sans Mono CJK KR" w:eastAsia="Noto Sans Mono CJK KR"/>
                <w:sz w:val="15"/>
              </w:rPr>
              <w:t>1. 거래의 이름은 ServiceId다.</w:t>
            </w:r>
            <w:r>
              <w:br/>
            </w:r>
            <w:r>
              <w:rPr>
                <w:rFonts w:ascii="Noto Sans Mono CJK KR" w:hAnsi="Noto Sans Mono CJK KR" w:eastAsia="Noto Sans Mono CJK KR"/>
                <w:sz w:val="15"/>
              </w:rPr>
              <w:t>2. 거래의 입구는 Online Endpoint다.</w:t>
            </w:r>
            <w:r>
              <w:br/>
            </w:r>
            <w:r>
              <w:rPr>
                <w:rFonts w:ascii="Noto Sans Mono CJK KR" w:hAnsi="Noto Sans Mono CJK KR" w:eastAsia="Noto Sans Mono CJK KR"/>
                <w:sz w:val="15"/>
              </w:rPr>
              <w:t>3. 거래의 공통 품질은 STF/ETF가 보장한다.</w:t>
            </w:r>
            <w:r>
              <w:br/>
            </w:r>
            <w:r>
              <w:rPr>
                <w:rFonts w:ascii="Noto Sans Mono CJK KR" w:hAnsi="Noto Sans Mono CJK KR" w:eastAsia="Noto Sans Mono CJK KR"/>
                <w:sz w:val="15"/>
              </w:rPr>
              <w:t>4. 업무 판단은 Rule/Service에서, SQL 실행은 DAO/Mapper에서 수행한다.</w:t>
            </w:r>
            <w:r>
              <w:br/>
            </w:r>
            <w:r>
              <w:rPr>
                <w:rFonts w:ascii="Noto Sans Mono CJK KR" w:hAnsi="Noto Sans Mono CJK KR" w:eastAsia="Noto Sans Mono CJK KR"/>
                <w:sz w:val="15"/>
              </w:rPr>
              <w:t>5. 운영 정책은 OM에 등록되고 런타임에서 적용된다.</w:t>
            </w:r>
            <w:r>
              <w:br/>
            </w:r>
            <w:r>
              <w:rPr>
                <w:rFonts w:ascii="Noto Sans Mono CJK KR" w:hAnsi="Noto Sans Mono CJK KR" w:eastAsia="Noto Sans Mono CJK KR"/>
                <w:sz w:val="15"/>
              </w:rPr>
              <w:t>6. 인증은 Gateway에서 1차 검증하고, TCF/STF는 방어적으로 확인한다.</w:t>
            </w:r>
            <w:r>
              <w:br/>
            </w:r>
            <w:r>
              <w:rPr>
                <w:rFonts w:ascii="Noto Sans Mono CJK KR" w:hAnsi="Noto Sans Mono CJK KR" w:eastAsia="Noto Sans Mono CJK KR"/>
                <w:sz w:val="15"/>
              </w:rPr>
              <w:t>7. 장애 분석은 GUID와 SERVICE_ID에서 시작한다.</w:t>
            </w:r>
            <w:r>
              <w:br/>
            </w:r>
          </w:p>
        </w:tc>
      </w:tr>
    </w:tbl>
    <w:p>
      <w:pPr>
        <w:pStyle w:val="Heading2"/>
      </w:pPr>
      <w:r>
        <w:rPr>
          <w:rFonts w:ascii="Noto Sans CJK KR" w:hAnsi="Noto Sans CJK KR" w:eastAsia="Noto Sans CJK KR"/>
          <w:b/>
        </w:rPr>
        <w:t>2.2 Reference Architecture</w:t>
      </w:r>
    </w:p>
    <w:p>
      <w:r>
        <w:rPr>
          <w:rFonts w:ascii="Noto Sans CJK KR" w:hAnsi="Noto Sans CJK KR" w:eastAsia="Noto Sans CJK KR"/>
        </w:rPr>
        <w:t>NSIGHT TCF의 전체 구조는 Data Plane과 Control Plane을 분리해서 보아야 한다. Data Plane은 실제 업무 거래가 흐르는 경로이고, Control Plane은 이 거래를 통제하기 위한 기준정보와 정책을 공급하는 경로다. 두 경로가 혼합되면 운영자가 거래를 통제할 수 없고, 반대로 지나치게 분리되면 런타임 정책 반영이 느려진다.</w:t>
      </w:r>
    </w:p>
    <w:tbl>
      <w:tblPr>
        <w:tblW w:type="auto" w:w="0"/>
        <w:jc w:val="center"/>
        <w:tblLook w:firstColumn="1" w:firstRow="1" w:lastColumn="0" w:lastRow="0" w:noHBand="0" w:noVBand="1" w:val="04A0"/>
      </w:tblPr>
      <w:tblGrid>
        <w:gridCol w:w="10262"/>
      </w:tblGrid>
      <w:tr>
        <w:tc>
          <w:tcPr>
            <w:tcW w:type="dxa" w:w="10262"/>
            <w:shd w:fill="F2F2F2"/>
            <w:tcBorders>
              <w:top w:sz="4" w:val="single" w:color="BFBFBF"/>
              <w:left w:sz="4" w:val="single" w:color="BFBFBF"/>
              <w:bottom w:sz="4" w:val="single" w:color="BFBFBF"/>
              <w:right w:sz="4" w:val="single" w:color="BFBFBF"/>
            </w:tcBorders>
          </w:tcPr>
          <w:p>
            <w:pPr>
              <w:spacing w:before="40" w:after="40"/>
            </w:pPr>
            <w:r>
              <w:rPr>
                <w:rFonts w:ascii="Noto Sans Mono CJK KR" w:hAnsi="Noto Sans Mono CJK KR" w:eastAsia="Noto Sans Mono CJK KR"/>
                <w:sz w:val="15"/>
              </w:rPr>
              <w:t>[Channel / UI / External]</w:t>
            </w:r>
            <w:r>
              <w:br/>
            </w:r>
            <w:r>
              <w:rPr>
                <w:rFonts w:ascii="Noto Sans Mono CJK KR" w:hAnsi="Noto Sans Mono CJK KR" w:eastAsia="Noto Sans Mono CJK KR"/>
                <w:sz w:val="15"/>
              </w:rPr>
              <w:t xml:space="preserve">        |</w:t>
            </w:r>
            <w:r>
              <w:br/>
            </w:r>
            <w:r>
              <w:rPr>
                <w:rFonts w:ascii="Noto Sans Mono CJK KR" w:hAnsi="Noto Sans Mono CJK KR" w:eastAsia="Noto Sans Mono CJK KR"/>
                <w:sz w:val="15"/>
              </w:rPr>
              <w:t xml:space="preserve">        v</w:t>
            </w:r>
            <w:r>
              <w:br/>
            </w:r>
            <w:r>
              <w:rPr>
                <w:rFonts w:ascii="Noto Sans Mono CJK KR" w:hAnsi="Noto Sans Mono CJK KR" w:eastAsia="Noto Sans Mono CJK KR"/>
                <w:sz w:val="15"/>
              </w:rPr>
              <w:t>[GSLB / L4 / Apache]</w:t>
            </w:r>
            <w:r>
              <w:br/>
            </w:r>
            <w:r>
              <w:rPr>
                <w:rFonts w:ascii="Noto Sans Mono CJK KR" w:hAnsi="Noto Sans Mono CJK KR" w:eastAsia="Noto Sans Mono CJK KR"/>
                <w:sz w:val="15"/>
              </w:rPr>
              <w:t xml:space="preserve">        |</w:t>
            </w:r>
            <w:r>
              <w:br/>
            </w:r>
            <w:r>
              <w:rPr>
                <w:rFonts w:ascii="Noto Sans Mono CJK KR" w:hAnsi="Noto Sans Mono CJK KR" w:eastAsia="Noto Sans Mono CJK KR"/>
                <w:sz w:val="15"/>
              </w:rPr>
              <w:t xml:space="preserve">        v</w:t>
            </w:r>
            <w:r>
              <w:br/>
            </w:r>
            <w:r>
              <w:rPr>
                <w:rFonts w:ascii="Noto Sans Mono CJK KR" w:hAnsi="Noto Sans Mono CJK KR" w:eastAsia="Noto Sans Mono CJK KR"/>
                <w:sz w:val="15"/>
              </w:rPr>
              <w:t>[tcf-gateway]</w:t>
            </w:r>
            <w:r>
              <w:br/>
            </w:r>
            <w:r>
              <w:rPr>
                <w:rFonts w:ascii="Noto Sans Mono CJK KR" w:hAnsi="Noto Sans Mono CJK KR" w:eastAsia="Noto Sans Mono CJK KR"/>
                <w:sz w:val="15"/>
              </w:rPr>
              <w:t xml:space="preserve">  - 인증 1차 검증</w:t>
            </w:r>
            <w:r>
              <w:br/>
            </w:r>
            <w:r>
              <w:rPr>
                <w:rFonts w:ascii="Noto Sans Mono CJK KR" w:hAnsi="Noto Sans Mono CJK KR" w:eastAsia="Noto Sans Mono CJK KR"/>
                <w:sz w:val="15"/>
              </w:rPr>
              <w:t xml:space="preserve">  - 업무코드 라우팅</w:t>
            </w:r>
            <w:r>
              <w:br/>
            </w:r>
            <w:r>
              <w:rPr>
                <w:rFonts w:ascii="Noto Sans Mono CJK KR" w:hAnsi="Noto Sans Mono CJK KR" w:eastAsia="Noto Sans Mono CJK KR"/>
                <w:sz w:val="15"/>
              </w:rPr>
              <w:t xml:space="preserve">  - 표준 Header 보정</w:t>
            </w:r>
            <w:r>
              <w:br/>
            </w:r>
            <w:r>
              <w:rPr>
                <w:rFonts w:ascii="Noto Sans Mono CJK KR" w:hAnsi="Noto Sans Mono CJK KR" w:eastAsia="Noto Sans Mono CJK KR"/>
                <w:sz w:val="15"/>
              </w:rPr>
              <w:t xml:space="preserve">        |</w:t>
            </w:r>
            <w:r>
              <w:br/>
            </w:r>
            <w:r>
              <w:rPr>
                <w:rFonts w:ascii="Noto Sans Mono CJK KR" w:hAnsi="Noto Sans Mono CJK KR" w:eastAsia="Noto Sans Mono CJK KR"/>
                <w:sz w:val="15"/>
              </w:rPr>
              <w:t xml:space="preserve">        v</w:t>
            </w:r>
            <w:r>
              <w:br/>
            </w:r>
            <w:r>
              <w:rPr>
                <w:rFonts w:ascii="Noto Sans Mono CJK KR" w:hAnsi="Noto Sans Mono CJK KR" w:eastAsia="Noto Sans Mono CJK KR"/>
                <w:sz w:val="15"/>
              </w:rPr>
              <w:t>[Business WAR]</w:t>
            </w:r>
            <w:r>
              <w:br/>
            </w:r>
            <w:r>
              <w:rPr>
                <w:rFonts w:ascii="Noto Sans Mono CJK KR" w:hAnsi="Noto Sans Mono CJK KR" w:eastAsia="Noto Sans Mono CJK KR"/>
                <w:sz w:val="15"/>
              </w:rPr>
              <w:t xml:space="preserve">  /online</w:t>
            </w:r>
            <w:r>
              <w:br/>
            </w:r>
            <w:r>
              <w:rPr>
                <w:rFonts w:ascii="Noto Sans Mono CJK KR" w:hAnsi="Noto Sans Mono CJK KR" w:eastAsia="Noto Sans Mono CJK KR"/>
                <w:sz w:val="15"/>
              </w:rPr>
              <w:t xml:space="preserve">        |</w:t>
            </w:r>
            <w:r>
              <w:br/>
            </w:r>
            <w:r>
              <w:rPr>
                <w:rFonts w:ascii="Noto Sans Mono CJK KR" w:hAnsi="Noto Sans Mono CJK KR" w:eastAsia="Noto Sans Mono CJK KR"/>
                <w:sz w:val="15"/>
              </w:rPr>
              <w:t xml:space="preserve">        v</w:t>
            </w:r>
            <w:r>
              <w:br/>
            </w:r>
            <w:r>
              <w:rPr>
                <w:rFonts w:ascii="Noto Sans Mono CJK KR" w:hAnsi="Noto Sans Mono CJK KR" w:eastAsia="Noto Sans Mono CJK KR"/>
                <w:sz w:val="15"/>
              </w:rPr>
              <w:t>[TCF Runtime]</w:t>
            </w:r>
            <w:r>
              <w:br/>
            </w:r>
            <w:r>
              <w:rPr>
                <w:rFonts w:ascii="Noto Sans Mono CJK KR" w:hAnsi="Noto Sans Mono CJK KR" w:eastAsia="Noto Sans Mono CJK KR"/>
                <w:sz w:val="15"/>
              </w:rPr>
              <w:t xml:space="preserve">  STF -&gt; Dispatcher -&gt; Handler -&gt; Facade -&gt; Service -&gt; Rule -&gt; DAO/Mapper -&gt; ETF</w:t>
            </w:r>
            <w:r>
              <w:br/>
            </w:r>
            <w:r>
              <w:rPr>
                <w:rFonts w:ascii="Noto Sans Mono CJK KR" w:hAnsi="Noto Sans Mono CJK KR" w:eastAsia="Noto Sans Mono CJK KR"/>
                <w:sz w:val="15"/>
              </w:rPr>
              <w:t xml:space="preserve">        |</w:t>
            </w:r>
            <w:r>
              <w:br/>
            </w:r>
            <w:r>
              <w:rPr>
                <w:rFonts w:ascii="Noto Sans Mono CJK KR" w:hAnsi="Noto Sans Mono CJK KR" w:eastAsia="Noto Sans Mono CJK KR"/>
                <w:sz w:val="15"/>
              </w:rPr>
              <w:t xml:space="preserve">        +--&gt; RDW / ADW / 업무DB</w:t>
            </w:r>
            <w:r>
              <w:br/>
            </w:r>
            <w:r>
              <w:rPr>
                <w:rFonts w:ascii="Noto Sans Mono CJK KR" w:hAnsi="Noto Sans Mono CJK KR" w:eastAsia="Noto Sans Mono CJK KR"/>
                <w:sz w:val="15"/>
              </w:rPr>
              <w:t xml:space="preserve">        +--&gt; OMDB / LOGDB / SESSIONDB</w:t>
            </w:r>
            <w:r>
              <w:br/>
            </w:r>
            <w:r>
              <w:rPr>
                <w:rFonts w:ascii="Noto Sans Mono CJK KR" w:hAnsi="Noto Sans Mono CJK KR" w:eastAsia="Noto Sans Mono CJK KR"/>
                <w:sz w:val="15"/>
              </w:rPr>
            </w:r>
            <w:r>
              <w:br/>
            </w:r>
            <w:r>
              <w:rPr>
                <w:rFonts w:ascii="Noto Sans Mono CJK KR" w:hAnsi="Noto Sans Mono CJK KR" w:eastAsia="Noto Sans Mono CJK KR"/>
                <w:sz w:val="15"/>
              </w:rPr>
              <w:t>[OM Control Plane]</w:t>
            </w:r>
            <w:r>
              <w:br/>
            </w:r>
            <w:r>
              <w:rPr>
                <w:rFonts w:ascii="Noto Sans Mono CJK KR" w:hAnsi="Noto Sans Mono CJK KR" w:eastAsia="Noto Sans Mono CJK KR"/>
                <w:sz w:val="15"/>
              </w:rPr>
              <w:t xml:space="preserve">  Service Catalog / 거래통제 / Timeout / 오류코드 / 공통코드 / 권한 / 환경설정</w:t>
            </w:r>
            <w:r>
              <w:br/>
            </w:r>
            <w:r>
              <w:rPr>
                <w:rFonts w:ascii="Noto Sans Mono CJK KR" w:hAnsi="Noto Sans Mono CJK KR" w:eastAsia="Noto Sans Mono CJK KR"/>
                <w:sz w:val="15"/>
              </w:rPr>
              <w:t xml:space="preserve">        |</w:t>
            </w:r>
            <w:r>
              <w:br/>
            </w:r>
            <w:r>
              <w:rPr>
                <w:rFonts w:ascii="Noto Sans Mono CJK KR" w:hAnsi="Noto Sans Mono CJK KR" w:eastAsia="Noto Sans Mono CJK KR"/>
                <w:sz w:val="15"/>
              </w:rPr>
              <w:t xml:space="preserve">        v</w:t>
            </w:r>
            <w:r>
              <w:br/>
            </w:r>
            <w:r>
              <w:rPr>
                <w:rFonts w:ascii="Noto Sans Mono CJK KR" w:hAnsi="Noto Sans Mono CJK KR" w:eastAsia="Noto Sans Mono CJK KR"/>
                <w:sz w:val="15"/>
              </w:rPr>
              <w:t xml:space="preserve">  Runtime Policy Cache / Validation / Monitoring</w:t>
            </w:r>
            <w:r>
              <w:br/>
            </w:r>
          </w:p>
        </w:tc>
      </w:tr>
    </w:tbl>
    <w:tbl>
      <w:tblPr>
        <w:tblStyle w:val="TableGrid"/>
        <w:tblW w:type="auto" w:w="0"/>
        <w:jc w:val="center"/>
        <w:tblLook w:firstColumn="1" w:firstRow="1" w:lastColumn="0" w:lastRow="0" w:noHBand="0" w:noVBand="1" w:val="04A0"/>
      </w:tblPr>
      <w:tblGrid>
        <w:gridCol w:w="2565"/>
        <w:gridCol w:w="2565"/>
        <w:gridCol w:w="2565"/>
        <w:gridCol w:w="2565"/>
      </w:tblGrid>
      <w:tr>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영역</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구성요소</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주요 책임</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주요 리스크</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접속/라우팅</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GSLB, L4, Apache, Gateway</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센터 분기, 라우팅, 인증 1차 검증, 업무 WAR 보호</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Gateway 우회, 라우팅 오류, Sticky/Timeout 불일치</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 실행</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 WAR, TCF, STF, Dispatcher, Handler</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표준 거래 처리, 공통 전처리, ServiceId 기반 Handler 실행</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Handler 미등록, 표준 Header 누락, 공통 검증 우회</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 로직</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Facade, Service, Rule</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유스케이스 조립, 업무 규칙, 데이터 권한 판단</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계층 혼합, 트랜잭션 경계 모호, 중복 로직</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데이터 접근</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DAO, MyBatis Mapper, SQL</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SQL 실행, DB 접근 경계 준수, Query Timeout 적용</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동적 SQL 남용, 대량 조회, Index 미흡</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운영 통제</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OM, Catalog, 거래통제, Timeout, 권한, 코드</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런타임 정책 관리, 기준정보 변경, 감사</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정책 캐시 미동기화, 승인 없는 변경</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관측/감사</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거래로그, 감사로그, 오류로그, MDC, APM</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장애 추적, 책임성 확보, SLA 분석</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GUID 누락, 로그 과다/부족, 개인정보 로그 노출</w:t>
            </w:r>
          </w:p>
        </w:tc>
      </w:tr>
    </w:tbl>
    <w:p/>
    <w:p>
      <w:pPr>
        <w:pStyle w:val="Heading2"/>
      </w:pPr>
      <w:r>
        <w:rPr>
          <w:rFonts w:ascii="Noto Sans CJK KR" w:hAnsi="Noto Sans CJK KR" w:eastAsia="Noto Sans CJK KR"/>
          <w:b/>
        </w:rPr>
        <w:t>2.3 Data Plane과 Control Plane 분리</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구분</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Data Plane</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Control Plane</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목적</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사용자 요청을 실제 업무 결과로 처리</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거래 처리 가능 여부와 처리 정책을 제어</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대표 구성</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Gateway, Business WAR, TCF, Handler, Service, DAO</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OM, Service Catalog, Transaction Control, Timeout Policy, Error Code</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핵심 식별자</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GUID, TRACE_ID, SERVICE_ID, TRANSACTION_CODE</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SERVICE_ID, BUSINESS_CODE, POLICY_ID, VERSION</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변경 방식</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소스 변경, 배포, 릴리즈 승인</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운영 기준정보 변경, 승인, 캐시 무효화</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장애 영향</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거래 실패, 응답 지연, 데이터 오류</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허용/차단 오류, Timeout 정책 오류, 권한 오판</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관리 기준</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성능, 안정성, 예외처리, 트랜잭션</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승인, 이력, 감사, Rollback, 정책 버전관리</w:t>
            </w:r>
          </w:p>
        </w:tc>
      </w:tr>
    </w:tbl>
    <w:p/>
    <w:p>
      <w:pPr>
        <w:pStyle w:val="Heading2"/>
      </w:pPr>
      <w:r>
        <w:rPr>
          <w:rFonts w:ascii="Noto Sans CJK KR" w:hAnsi="Noto Sans CJK KR" w:eastAsia="Noto Sans CJK KR"/>
          <w:b/>
        </w:rPr>
        <w:t>2.4 Runtime Transaction Pipeline</w:t>
      </w:r>
    </w:p>
    <w:p>
      <w:r>
        <w:rPr>
          <w:rFonts w:ascii="Noto Sans CJK KR" w:hAnsi="Noto Sans CJK KR" w:eastAsia="Noto Sans CJK KR"/>
        </w:rPr>
        <w:t>TCF 런타임은 모든 온라인 거래를 동일한 골격으로 처리한다. 이 골격이 유지되어야 거래로그, Timeout, 예외, 감사, 권한, 중복요청 처리 같은 공통 품질 속성이 누락되지 않는다.</w:t>
      </w:r>
    </w:p>
    <w:tbl>
      <w:tblPr>
        <w:tblW w:type="auto" w:w="0"/>
        <w:jc w:val="center"/>
        <w:tblLook w:firstColumn="1" w:firstRow="1" w:lastColumn="0" w:lastRow="0" w:noHBand="0" w:noVBand="1" w:val="04A0"/>
      </w:tblPr>
      <w:tblGrid>
        <w:gridCol w:w="10262"/>
      </w:tblGrid>
      <w:tr>
        <w:tc>
          <w:tcPr>
            <w:tcW w:type="dxa" w:w="10262"/>
            <w:shd w:fill="F2F2F2"/>
            <w:tcBorders>
              <w:top w:sz="4" w:val="single" w:color="BFBFBF"/>
              <w:left w:sz="4" w:val="single" w:color="BFBFBF"/>
              <w:bottom w:sz="4" w:val="single" w:color="BFBFBF"/>
              <w:right w:sz="4" w:val="single" w:color="BFBFBF"/>
            </w:tcBorders>
          </w:tcPr>
          <w:p>
            <w:pPr>
              <w:spacing w:before="40" w:after="40"/>
            </w:pPr>
            <w:r>
              <w:rPr>
                <w:rFonts w:ascii="Noto Sans Mono CJK KR" w:hAnsi="Noto Sans Mono CJK KR" w:eastAsia="Noto Sans Mono CJK KR"/>
                <w:sz w:val="15"/>
              </w:rPr>
              <w:t>OnlineTransactionController</w:t>
            </w:r>
            <w:r>
              <w:br/>
            </w:r>
            <w:r>
              <w:rPr>
                <w:rFonts w:ascii="Noto Sans Mono CJK KR" w:hAnsi="Noto Sans Mono CJK KR" w:eastAsia="Noto Sans Mono CJK KR"/>
                <w:sz w:val="15"/>
              </w:rPr>
              <w:t xml:space="preserve">    -&gt; TCF.process()</w:t>
            </w:r>
            <w:r>
              <w:br/>
            </w:r>
            <w:r>
              <w:rPr>
                <w:rFonts w:ascii="Noto Sans Mono CJK KR" w:hAnsi="Noto Sans Mono CJK KR" w:eastAsia="Noto Sans Mono CJK KR"/>
                <w:sz w:val="15"/>
              </w:rPr>
              <w:t xml:space="preserve">        -&gt; STF.preProcess()</w:t>
            </w:r>
            <w:r>
              <w:br/>
            </w:r>
            <w:r>
              <w:rPr>
                <w:rFonts w:ascii="Noto Sans Mono CJK KR" w:hAnsi="Noto Sans Mono CJK KR" w:eastAsia="Noto Sans Mono CJK KR"/>
                <w:sz w:val="15"/>
              </w:rPr>
              <w:t xml:space="preserve">            - Header validation</w:t>
            </w:r>
            <w:r>
              <w:br/>
            </w:r>
            <w:r>
              <w:rPr>
                <w:rFonts w:ascii="Noto Sans Mono CJK KR" w:hAnsi="Noto Sans Mono CJK KR" w:eastAsia="Noto Sans Mono CJK KR"/>
                <w:sz w:val="15"/>
              </w:rPr>
              <w:t xml:space="preserve">            - Session/Auth context check</w:t>
            </w:r>
            <w:r>
              <w:br/>
            </w:r>
            <w:r>
              <w:rPr>
                <w:rFonts w:ascii="Noto Sans Mono CJK KR" w:hAnsi="Noto Sans Mono CJK KR" w:eastAsia="Noto Sans Mono CJK KR"/>
                <w:sz w:val="15"/>
              </w:rPr>
              <w:t xml:space="preserve">            - Transaction control</w:t>
            </w:r>
            <w:r>
              <w:br/>
            </w:r>
            <w:r>
              <w:rPr>
                <w:rFonts w:ascii="Noto Sans Mono CJK KR" w:hAnsi="Noto Sans Mono CJK KR" w:eastAsia="Noto Sans Mono CJK KR"/>
                <w:sz w:val="15"/>
              </w:rPr>
              <w:t xml:space="preserve">            - Timeout policy load</w:t>
            </w:r>
            <w:r>
              <w:br/>
            </w:r>
            <w:r>
              <w:rPr>
                <w:rFonts w:ascii="Noto Sans Mono CJK KR" w:hAnsi="Noto Sans Mono CJK KR" w:eastAsia="Noto Sans Mono CJK KR"/>
                <w:sz w:val="15"/>
              </w:rPr>
              <w:t xml:space="preserve">            - Transaction log start</w:t>
            </w:r>
            <w:r>
              <w:br/>
            </w:r>
            <w:r>
              <w:rPr>
                <w:rFonts w:ascii="Noto Sans Mono CJK KR" w:hAnsi="Noto Sans Mono CJK KR" w:eastAsia="Noto Sans Mono CJK KR"/>
                <w:sz w:val="15"/>
              </w:rPr>
              <w:t xml:space="preserve">        -&gt; TransactionDispatcher.dispatch(serviceId)</w:t>
            </w:r>
            <w:r>
              <w:br/>
            </w:r>
            <w:r>
              <w:rPr>
                <w:rFonts w:ascii="Noto Sans Mono CJK KR" w:hAnsi="Noto Sans Mono CJK KR" w:eastAsia="Noto Sans Mono CJK KR"/>
                <w:sz w:val="15"/>
              </w:rPr>
              <w:t xml:space="preserve">        -&gt; TransactionHandler.handle()</w:t>
            </w:r>
            <w:r>
              <w:br/>
            </w:r>
            <w:r>
              <w:rPr>
                <w:rFonts w:ascii="Noto Sans Mono CJK KR" w:hAnsi="Noto Sans Mono CJK KR" w:eastAsia="Noto Sans Mono CJK KR"/>
                <w:sz w:val="15"/>
              </w:rPr>
              <w:t xml:space="preserve">        -&gt; Facade orchestrates use case</w:t>
            </w:r>
            <w:r>
              <w:br/>
            </w:r>
            <w:r>
              <w:rPr>
                <w:rFonts w:ascii="Noto Sans Mono CJK KR" w:hAnsi="Noto Sans Mono CJK KR" w:eastAsia="Noto Sans Mono CJK KR"/>
                <w:sz w:val="15"/>
              </w:rPr>
              <w:t xml:space="preserve">        -&gt; Service executes business capability</w:t>
            </w:r>
            <w:r>
              <w:br/>
            </w:r>
            <w:r>
              <w:rPr>
                <w:rFonts w:ascii="Noto Sans Mono CJK KR" w:hAnsi="Noto Sans Mono CJK KR" w:eastAsia="Noto Sans Mono CJK KR"/>
                <w:sz w:val="15"/>
              </w:rPr>
              <w:t xml:space="preserve">        -&gt; Rule evaluates business rule</w:t>
            </w:r>
            <w:r>
              <w:br/>
            </w:r>
            <w:r>
              <w:rPr>
                <w:rFonts w:ascii="Noto Sans Mono CJK KR" w:hAnsi="Noto Sans Mono CJK KR" w:eastAsia="Noto Sans Mono CJK KR"/>
                <w:sz w:val="15"/>
              </w:rPr>
              <w:t xml:space="preserve">        -&gt; DAO / Mapper executes SQL</w:t>
            </w:r>
            <w:r>
              <w:br/>
            </w:r>
            <w:r>
              <w:rPr>
                <w:rFonts w:ascii="Noto Sans Mono CJK KR" w:hAnsi="Noto Sans Mono CJK KR" w:eastAsia="Noto Sans Mono CJK KR"/>
                <w:sz w:val="15"/>
              </w:rPr>
              <w:t xml:space="preserve">        -&gt; ETF.postProcess()</w:t>
            </w:r>
            <w:r>
              <w:br/>
            </w:r>
            <w:r>
              <w:rPr>
                <w:rFonts w:ascii="Noto Sans Mono CJK KR" w:hAnsi="Noto Sans Mono CJK KR" w:eastAsia="Noto Sans Mono CJK KR"/>
                <w:sz w:val="15"/>
              </w:rPr>
              <w:t xml:space="preserve">            - StandardResponse assembly</w:t>
            </w:r>
            <w:r>
              <w:br/>
            </w:r>
            <w:r>
              <w:rPr>
                <w:rFonts w:ascii="Noto Sans Mono CJK KR" w:hAnsi="Noto Sans Mono CJK KR" w:eastAsia="Noto Sans Mono CJK KR"/>
                <w:sz w:val="15"/>
              </w:rPr>
              <w:t xml:space="preserve">            - Error mapping</w:t>
            </w:r>
            <w:r>
              <w:br/>
            </w:r>
            <w:r>
              <w:rPr>
                <w:rFonts w:ascii="Noto Sans Mono CJK KR" w:hAnsi="Noto Sans Mono CJK KR" w:eastAsia="Noto Sans Mono CJK KR"/>
                <w:sz w:val="15"/>
              </w:rPr>
              <w:t xml:space="preserve">            - Transaction log finish</w:t>
            </w:r>
            <w:r>
              <w:br/>
            </w:r>
            <w:r>
              <w:rPr>
                <w:rFonts w:ascii="Noto Sans Mono CJK KR" w:hAnsi="Noto Sans Mono CJK KR" w:eastAsia="Noto Sans Mono CJK KR"/>
                <w:sz w:val="15"/>
              </w:rPr>
              <w:t xml:space="preserve">            - Audit / metrics / MDC close</w:t>
            </w:r>
            <w:r>
              <w:br/>
            </w:r>
          </w:p>
        </w:tc>
      </w:tr>
    </w:tbl>
    <w:tbl>
      <w:tblPr>
        <w:tblStyle w:val="TableGrid"/>
        <w:tblW w:type="auto" w:w="0"/>
        <w:jc w:val="center"/>
        <w:tblLook w:firstColumn="1" w:firstRow="1" w:lastColumn="0" w:lastRow="0" w:noHBand="0" w:noVBand="1" w:val="04A0"/>
      </w:tblPr>
      <w:tblGrid>
        <w:gridCol w:w="2565"/>
        <w:gridCol w:w="2565"/>
        <w:gridCol w:w="2565"/>
        <w:gridCol w:w="2565"/>
      </w:tblGrid>
      <w:tr>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단계</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아키텍처 책임</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기술 책임</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실패 시 처리 기준</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Controller</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외부 HTTP 요청을 표준 Online Endpoint로 수렴</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Request Body 수신, Header 수집</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형식 오류는 표준 오류 응답으로 전환</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TCF</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거래 실행 흐름의 오케스트레이터</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STF/Dispatcher/ETF 호출, Context 생성</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공통 예외 Catch 및 결과 표준화</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STF</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전처리와 방어적 검증</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Header, 세션, 권한, 거래통제, Timeout, 로그 시작</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검증 실패 시 업무 Handler 진입 차단</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Dispatcher</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ServiceId와 Handler 연결</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Registry 조회, Handler 선택</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미등록 ServiceId는 표준 오류 처리</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Handler</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 거래 진입점</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Request DTO 변환, Facade 호출</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 예외를 표준 예외 체계로 전파</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Facade</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유스케이스 조립</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복수 Service/Rule 조합, 트랜잭션 경계 후보</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부분 실패 시 보상/롤백 기준 적용</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Service/Rule</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 기능과 규칙 구현</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 조건, 데이터 권한, 상태 전이 판단</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BusinessException으로 의미 있는 실패 전달</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DAO/Mapper</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DB 접근 책임</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SQL ID, Query Timeout, ResultMap</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SQL 오류는 데이터 접근 예외로 표준화</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ETF</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후처리와 응답 표준화</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StandardResponse, 오류 매핑, 로그 종료</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UNKNOWN/FAIL 결과를 추적 가능하게 기록</w:t>
            </w:r>
          </w:p>
        </w:tc>
      </w:tr>
    </w:tbl>
    <w:p/>
    <w:p>
      <w:pPr>
        <w:pStyle w:val="Heading2"/>
      </w:pPr>
      <w:r>
        <w:rPr>
          <w:rFonts w:ascii="Noto Sans CJK KR" w:hAnsi="Noto Sans CJK KR" w:eastAsia="Noto Sans CJK KR"/>
          <w:b/>
        </w:rPr>
        <w:t>2.5 ServiceId Governance</w:t>
      </w:r>
    </w:p>
    <w:p>
      <w:r>
        <w:rPr>
          <w:rFonts w:ascii="Noto Sans CJK KR" w:hAnsi="Noto Sans CJK KR" w:eastAsia="Noto Sans CJK KR"/>
        </w:rPr>
        <w:t>ServiceId는 단순 문자열이 아니라 설계, 개발, 운영, 감사, 장애 분석을 연결하는 계약 키다. 화면번호, 거래코드, Handler, 권한, Timeout, 거래통제, 로그가 ServiceId를 중심으로 연결되어야 한다.</w:t>
      </w:r>
    </w:p>
    <w:tbl>
      <w:tblPr>
        <w:tblStyle w:val="TableGrid"/>
        <w:tblW w:type="auto" w:w="0"/>
        <w:jc w:val="center"/>
        <w:tblLook w:firstColumn="1" w:firstRow="1" w:lastColumn="0" w:lastRow="0" w:noHBand="0" w:noVBand="1" w:val="04A0"/>
      </w:tblPr>
      <w:tblGrid>
        <w:gridCol w:w="2565"/>
        <w:gridCol w:w="2565"/>
        <w:gridCol w:w="2565"/>
        <w:gridCol w:w="2565"/>
      </w:tblGrid>
      <w:tr>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식별자</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역할</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설계 기준</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운영 활용</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ServiceId</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 서비스 식별자</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{업무코드}.{도메인}.{행위}</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Handler 매핑, 권한, Timeout, 거래통제, 로그 분석</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Transaction Code</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거래 유형 식별자</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{업무코드}-{유형}-{일련번호}</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거래통제, 감사, 대량/변경성 구분</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Business Code</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 영역 식별자</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SV, IC, CM, OM 등 표준 업무코드</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WAR/Context/Package/Route 구분</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Screen No</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화면 식별자</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업무코드 + 화면유형 + 일련번호</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화면-기능-서비스 정합성 검증</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Function Code</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기능권한 식별자</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조회, 등록, 수정, 삭제, 다운로드 등</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메뉴/버튼/데이터 권한 판단</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GUID/TraceId</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거래 추적 식별자</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요청 단위 유일성 확보</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로그, APM, SQL, 감사 연계 추적</w:t>
            </w:r>
          </w:p>
        </w:tc>
      </w:tr>
    </w:tbl>
    <w:p/>
    <w:tbl>
      <w:tblPr>
        <w:tblW w:type="auto" w:w="0"/>
        <w:jc w:val="center"/>
        <w:tblLook w:firstColumn="1" w:firstRow="1" w:lastColumn="0" w:lastRow="0" w:noHBand="0" w:noVBand="1" w:val="04A0"/>
      </w:tblPr>
      <w:tblGrid>
        <w:gridCol w:w="10262"/>
      </w:tblGrid>
      <w:tr>
        <w:tc>
          <w:tcPr>
            <w:tcW w:type="dxa" w:w="10262"/>
            <w:shd w:fill="F2F2F2"/>
            <w:tcBorders>
              <w:top w:sz="4" w:val="single" w:color="BFBFBF"/>
              <w:left w:sz="4" w:val="single" w:color="BFBFBF"/>
              <w:bottom w:sz="4" w:val="single" w:color="BFBFBF"/>
              <w:right w:sz="4" w:val="single" w:color="BFBFBF"/>
            </w:tcBorders>
          </w:tcPr>
          <w:p>
            <w:pPr>
              <w:spacing w:before="40" w:after="40"/>
            </w:pPr>
            <w:r>
              <w:rPr>
                <w:rFonts w:ascii="Noto Sans Mono CJK KR" w:hAnsi="Noto Sans Mono CJK KR" w:eastAsia="Noto Sans Mono CJK KR"/>
                <w:sz w:val="15"/>
              </w:rPr>
              <w:t>Design Traceability Chain</w:t>
            </w:r>
            <w:r>
              <w:br/>
            </w:r>
            <w:r>
              <w:rPr>
                <w:rFonts w:ascii="Noto Sans Mono CJK KR" w:hAnsi="Noto Sans Mono CJK KR" w:eastAsia="Noto Sans Mono CJK KR"/>
                <w:sz w:val="15"/>
              </w:rPr>
            </w:r>
            <w:r>
              <w:br/>
            </w:r>
            <w:r>
              <w:rPr>
                <w:rFonts w:ascii="Noto Sans Mono CJK KR" w:hAnsi="Noto Sans Mono CJK KR" w:eastAsia="Noto Sans Mono CJK KR"/>
                <w:sz w:val="15"/>
              </w:rPr>
              <w:t>Requirement</w:t>
            </w:r>
            <w:r>
              <w:br/>
            </w:r>
            <w:r>
              <w:rPr>
                <w:rFonts w:ascii="Noto Sans Mono CJK KR" w:hAnsi="Noto Sans Mono CJK KR" w:eastAsia="Noto Sans Mono CJK KR"/>
                <w:sz w:val="15"/>
              </w:rPr>
              <w:t xml:space="preserve">  -&gt; Screen No / Menu ID</w:t>
            </w:r>
            <w:r>
              <w:br/>
            </w:r>
            <w:r>
              <w:rPr>
                <w:rFonts w:ascii="Noto Sans Mono CJK KR" w:hAnsi="Noto Sans Mono CJK KR" w:eastAsia="Noto Sans Mono CJK KR"/>
                <w:sz w:val="15"/>
              </w:rPr>
              <w:t xml:space="preserve">  -&gt; Function Code</w:t>
            </w:r>
            <w:r>
              <w:br/>
            </w:r>
            <w:r>
              <w:rPr>
                <w:rFonts w:ascii="Noto Sans Mono CJK KR" w:hAnsi="Noto Sans Mono CJK KR" w:eastAsia="Noto Sans Mono CJK KR"/>
                <w:sz w:val="15"/>
              </w:rPr>
              <w:t xml:space="preserve">  -&gt; ServiceId</w:t>
            </w:r>
            <w:r>
              <w:br/>
            </w:r>
            <w:r>
              <w:rPr>
                <w:rFonts w:ascii="Noto Sans Mono CJK KR" w:hAnsi="Noto Sans Mono CJK KR" w:eastAsia="Noto Sans Mono CJK KR"/>
                <w:sz w:val="15"/>
              </w:rPr>
              <w:t xml:space="preserve">  -&gt; Transaction Code</w:t>
            </w:r>
            <w:r>
              <w:br/>
            </w:r>
            <w:r>
              <w:rPr>
                <w:rFonts w:ascii="Noto Sans Mono CJK KR" w:hAnsi="Noto Sans Mono CJK KR" w:eastAsia="Noto Sans Mono CJK KR"/>
                <w:sz w:val="15"/>
              </w:rPr>
              <w:t xml:space="preserve">  -&gt; Handler</w:t>
            </w:r>
            <w:r>
              <w:br/>
            </w:r>
            <w:r>
              <w:rPr>
                <w:rFonts w:ascii="Noto Sans Mono CJK KR" w:hAnsi="Noto Sans Mono CJK KR" w:eastAsia="Noto Sans Mono CJK KR"/>
                <w:sz w:val="15"/>
              </w:rPr>
              <w:t xml:space="preserve">  -&gt; Facade / Service / Rule</w:t>
            </w:r>
            <w:r>
              <w:br/>
            </w:r>
            <w:r>
              <w:rPr>
                <w:rFonts w:ascii="Noto Sans Mono CJK KR" w:hAnsi="Noto Sans Mono CJK KR" w:eastAsia="Noto Sans Mono CJK KR"/>
                <w:sz w:val="15"/>
              </w:rPr>
              <w:t xml:space="preserve">  -&gt; DAO / Mapper / SQL ID</w:t>
            </w:r>
            <w:r>
              <w:br/>
            </w:r>
            <w:r>
              <w:rPr>
                <w:rFonts w:ascii="Noto Sans Mono CJK KR" w:hAnsi="Noto Sans Mono CJK KR" w:eastAsia="Noto Sans Mono CJK KR"/>
                <w:sz w:val="15"/>
              </w:rPr>
              <w:t xml:space="preserve">  -&gt; Table / Index</w:t>
            </w:r>
            <w:r>
              <w:br/>
            </w:r>
            <w:r>
              <w:rPr>
                <w:rFonts w:ascii="Noto Sans Mono CJK KR" w:hAnsi="Noto Sans Mono CJK KR" w:eastAsia="Noto Sans Mono CJK KR"/>
                <w:sz w:val="15"/>
              </w:rPr>
              <w:t xml:space="preserve">  -&gt; Transaction Log / Audit Log</w:t>
            </w:r>
            <w:r>
              <w:br/>
            </w:r>
          </w:p>
        </w:tc>
      </w:tr>
    </w:tbl>
    <w:p>
      <w:pPr>
        <w:pStyle w:val="Heading2"/>
      </w:pPr>
      <w:r>
        <w:rPr>
          <w:rFonts w:ascii="Noto Sans CJK KR" w:hAnsi="Noto Sans CJK KR" w:eastAsia="Noto Sans CJK KR"/>
          <w:b/>
        </w:rPr>
        <w:t>2.6 Service Catalog와 운영 등록 생명주기</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단계</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수행 내용</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승인/검증 포인트</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설계</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ServiceId, 거래코드, Header 7항, 권한, Timeout, 감사 대상 정의</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업무/아키텍처/보안 공동 검토</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개발</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Handler.serviceIds(), Facade/Service/Rule/DAO/Mapper 구현</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계층 책임 위반 여부 코드 리뷰</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OM 등록</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OM_SERVICE_CATALOG, 거래통제, Timeout, 오류코드, 기능권한 등록</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운영 기준정보 승인과 변경 이력 저장</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테스트</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TCF 거래 테스트, 권한 테스트, Timeout/오류 테스트, SQL 테스트 수행</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GUID 기준 End-to-End 추적 가능성 확인</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배포</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WAR 배포, 설정 Profile 확인, 캐시 무효화, Smoke Test</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Rollback 시 기준정보/소스 동시 정합성 확인</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운영</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거래로그/감사로그/대시보드 모니터링</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거래 차단, Timeout 조정, 오류코드 보정 절차 적용</w:t>
            </w:r>
          </w:p>
        </w:tc>
      </w:tr>
    </w:tbl>
    <w:p/>
    <w:p>
      <w:pPr>
        <w:pStyle w:val="Heading2"/>
      </w:pPr>
      <w:r>
        <w:rPr>
          <w:rFonts w:ascii="Noto Sans CJK KR" w:hAnsi="Noto Sans CJK KR" w:eastAsia="Noto Sans CJK KR"/>
          <w:b/>
        </w:rPr>
        <w:t>2.7 애플리케이션 6계층 책임 모델</w:t>
      </w:r>
    </w:p>
    <w:p>
      <w:r>
        <w:rPr>
          <w:rFonts w:ascii="Noto Sans CJK KR" w:hAnsi="Noto Sans CJK KR" w:eastAsia="Noto Sans CJK KR"/>
        </w:rPr>
        <w:t>6계층 구조의 목적은 단순한 폴더 분리가 아니다. 변경 사유가 서로 다른 코드를 서로 다른 계층에 배치하여 유지보수성과 장애 격리성을 높이는 것이다.</w:t>
      </w:r>
    </w:p>
    <w:tbl>
      <w:tblPr>
        <w:tblStyle w:val="TableGrid"/>
        <w:tblW w:type="auto" w:w="0"/>
        <w:jc w:val="center"/>
        <w:tblLook w:firstColumn="1" w:firstRow="1" w:lastColumn="0" w:lastRow="0" w:noHBand="0" w:noVBand="1" w:val="04A0"/>
      </w:tblPr>
      <w:tblGrid>
        <w:gridCol w:w="2565"/>
        <w:gridCol w:w="2565"/>
        <w:gridCol w:w="2565"/>
        <w:gridCol w:w="2565"/>
      </w:tblGrid>
      <w:tr>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계층</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책임</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허용</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금지</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Handler</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ServiceId별 업무 진입점</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요청 DTO 변환, Facade 호출, serviceIds() 선언</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SQL 실행, 복잡한 업무 규칙, JWT 직접 파싱</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Facade</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 유스케이스 조립</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복수 Service 조합, 트랜잭션 경계 설정 후보</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단순 DAO 중계, 화면 분기 로직 과다</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 기능 단위 처리</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 상태 변경, 외부 연동 호출, Rule 호출</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HTTP 요청 객체 직접 사용, Mapper 직접 남용</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Rule</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 규칙 판단</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검증, 계산, 권한/상태 조건 판정</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DB 커넥션 관리, 트랜잭션 직접 제어</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DAO</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데이터 접근 추상화</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Mapper 호출, Result 조립 보조</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 정책 결정, 화면별 분기</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Mapper</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SQL 실행 정의</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SQL ID, ResultMap, Dynamic SQL</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인증/권한 판단, 업무 상태 전이 결정</w:t>
            </w:r>
          </w:p>
        </w:tc>
      </w:tr>
    </w:tbl>
    <w:p/>
    <w:p>
      <w:pPr>
        <w:pStyle w:val="Heading2"/>
      </w:pPr>
      <w:r>
        <w:rPr>
          <w:rFonts w:ascii="Noto Sans CJK KR" w:hAnsi="Noto Sans CJK KR" w:eastAsia="Noto Sans CJK KR"/>
          <w:b/>
        </w:rPr>
        <w:t>2.8 트랜잭션 경계와 예외 전파 기준</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주제</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설계 기준</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마스터 검토 질문</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트랜잭션 시작 위치</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Facade 또는 Service에서 유스케이스 단위로 설정한다.</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이 거래의 원자성 범위는 어디까지인가?</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Rule 예외</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업무적으로 예측 가능한 실패는 BusinessException으로 발생시킨다.</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사용자 메시지와 운영 메시지가 분리되어 있는가?</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DAO/Mapper 예외</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SQL/DB 예외는 데이터 접근 예외로 표준화하고 ETF에서 응답 매핑한다.</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SQL ID와 GUID로 재현 가능한가?</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외부 연동 실패</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Timeout, Retry, Circuit Breaker, 보상처리 기준을 별도 정의한다.</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부분 성공을 허용하는가, 전체 Rollback인가?</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후처리 실패</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로그 종료 실패가 업무 응답을 오염시키지 않도록 별도 보호한다.</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감사 필수 거래의 기록 실패 정책은 무엇인가?</w:t>
            </w:r>
          </w:p>
        </w:tc>
      </w:tr>
    </w:tbl>
    <w:p/>
    <w:p>
      <w:pPr>
        <w:pStyle w:val="Heading2"/>
      </w:pPr>
      <w:r>
        <w:rPr>
          <w:rFonts w:ascii="Noto Sans CJK KR" w:hAnsi="Noto Sans CJK KR" w:eastAsia="Noto Sans CJK KR"/>
          <w:b/>
        </w:rPr>
        <w:t>2.9 표준 전문과 TransactionContext</w:t>
      </w:r>
    </w:p>
    <w:p>
      <w:r>
        <w:rPr>
          <w:rFonts w:ascii="Noto Sans CJK KR" w:hAnsi="Noto Sans CJK KR" w:eastAsia="Noto Sans CJK KR"/>
        </w:rPr>
        <w:t>표준 전문은 단순 JSON 포맷이 아니라 거래 처리를 운영 가능하게 만드는 정보 구조다. Header는 식별과 통제를 담당하고, Body는 업무 데이터만 담아야 하며, Result는 사용자 응답과 운영 추적 정보를 분리해야 한다.</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영역</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주요 항목</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책임</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Header</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serviceId, transactionCode, businessCode, userId, branchId, channelId, guid</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거래 식별, 권한/통제, 로그 추적</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Body</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 요청 데이터</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업무별 DTO와 Validation 대상</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Result</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resultCode, message, errorCode, traceId</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표준 응답, 사용자 메시지, 운영 추적</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Context</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TransactionContext, MDC, AuthContext, TimeoutContext</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런타임 내부에서 공통 정보 공유</w:t>
            </w:r>
          </w:p>
        </w:tc>
      </w:tr>
    </w:tbl>
    <w:p/>
    <w:tbl>
      <w:tblPr>
        <w:tblW w:type="auto" w:w="0"/>
        <w:jc w:val="center"/>
        <w:tblLook w:firstColumn="1" w:firstRow="1" w:lastColumn="0" w:lastRow="0" w:noHBand="0" w:noVBand="1" w:val="04A0"/>
      </w:tblPr>
      <w:tblGrid>
        <w:gridCol w:w="10262"/>
      </w:tblGrid>
      <w:tr>
        <w:tc>
          <w:tcPr>
            <w:tcW w:type="dxa" w:w="10262"/>
            <w:shd w:fill="F2F2F2"/>
            <w:tcBorders>
              <w:top w:sz="4" w:val="single" w:color="BFBFBF"/>
              <w:left w:sz="4" w:val="single" w:color="BFBFBF"/>
              <w:bottom w:sz="4" w:val="single" w:color="BFBFBF"/>
              <w:right w:sz="4" w:val="single" w:color="BFBFBF"/>
            </w:tcBorders>
          </w:tcPr>
          <w:p>
            <w:pPr>
              <w:spacing w:before="40" w:after="40"/>
            </w:pPr>
            <w:r>
              <w:rPr>
                <w:rFonts w:ascii="Noto Sans Mono CJK KR" w:hAnsi="Noto Sans Mono CJK KR" w:eastAsia="Noto Sans Mono CJK KR"/>
                <w:sz w:val="15"/>
              </w:rPr>
              <w:t>Standard Message Principle</w:t>
            </w:r>
            <w:r>
              <w:br/>
            </w:r>
            <w:r>
              <w:rPr>
                <w:rFonts w:ascii="Noto Sans Mono CJK KR" w:hAnsi="Noto Sans Mono CJK KR" w:eastAsia="Noto Sans Mono CJK KR"/>
                <w:sz w:val="15"/>
              </w:rPr>
            </w:r>
            <w:r>
              <w:br/>
            </w:r>
            <w:r>
              <w:rPr>
                <w:rFonts w:ascii="Noto Sans Mono CJK KR" w:hAnsi="Noto Sans Mono CJK KR" w:eastAsia="Noto Sans Mono CJK KR"/>
                <w:sz w:val="15"/>
              </w:rPr>
              <w:t>Client must not decide trust information.</w:t>
            </w:r>
            <w:r>
              <w:br/>
            </w:r>
            <w:r>
              <w:rPr>
                <w:rFonts w:ascii="Noto Sans Mono CJK KR" w:hAnsi="Noto Sans Mono CJK KR" w:eastAsia="Noto Sans Mono CJK KR"/>
                <w:sz w:val="15"/>
              </w:rPr>
              <w:t>Gateway and TCF normalize trusted Header values.</w:t>
            </w:r>
            <w:r>
              <w:br/>
            </w:r>
            <w:r>
              <w:rPr>
                <w:rFonts w:ascii="Noto Sans Mono CJK KR" w:hAnsi="Noto Sans Mono CJK KR" w:eastAsia="Noto Sans Mono CJK KR"/>
                <w:sz w:val="15"/>
              </w:rPr>
              <w:t>Business logic reads TransactionContext,</w:t>
            </w:r>
            <w:r>
              <w:br/>
            </w:r>
            <w:r>
              <w:rPr>
                <w:rFonts w:ascii="Noto Sans Mono CJK KR" w:hAnsi="Noto Sans Mono CJK KR" w:eastAsia="Noto Sans Mono CJK KR"/>
                <w:sz w:val="15"/>
              </w:rPr>
              <w:t>not raw HTTP headers or raw JWT strings.</w:t>
            </w:r>
            <w:r>
              <w:br/>
            </w:r>
          </w:p>
        </w:tc>
      </w:tr>
    </w:tbl>
    <w:p>
      <w:pPr>
        <w:pStyle w:val="Heading2"/>
      </w:pPr>
      <w:r>
        <w:rPr>
          <w:rFonts w:ascii="Noto Sans CJK KR" w:hAnsi="Noto Sans CJK KR" w:eastAsia="Noto Sans CJK KR"/>
          <w:b/>
        </w:rPr>
        <w:t>2.10 Header 7항과 거래통제</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항목</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통제 의미</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오류 시 영향</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serviceId</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어떤 서비스를 호출하는지 식별</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Handler 미등록, 권한/Timeout/로그 기준 누락</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transactionCode</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조회/등록/변경/삭제/배치 등 거래 유형 식별</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거래통제와 감사 분류 오류</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businessCode</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 WAR, Package, Route 구분</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Gateway 라우팅 오류 또는 업무 경계 침범</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channelId</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UI, Gateway, 외부채널 구분</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채널별 권한/통제 오판</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userId</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사용자 책임 주체 식별</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감사로그 무효, 권한 검증 불가</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branchId</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지점/사무소 권한 기준</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데이터 권한 오판, 감사 추적 실패</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guid/traceId</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End-to-End 추적 키</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장애 분석 불가, 로그 상관관계 단절</w:t>
            </w:r>
          </w:p>
        </w:tc>
      </w:tr>
    </w:tbl>
    <w:p/>
    <w:p>
      <w:pPr>
        <w:pStyle w:val="Heading2"/>
      </w:pPr>
      <w:r>
        <w:rPr>
          <w:rFonts w:ascii="Noto Sans CJK KR" w:hAnsi="Noto Sans CJK KR" w:eastAsia="Noto Sans CJK KR"/>
          <w:b/>
        </w:rPr>
        <w:t>2.11 인증·인가·세션 아키텍처</w:t>
      </w:r>
    </w:p>
    <w:p>
      <w:r>
        <w:rPr>
          <w:rFonts w:ascii="Noto Sans CJK KR" w:hAnsi="Noto Sans CJK KR" w:eastAsia="Noto Sans CJK KR"/>
        </w:rPr>
        <w:t>인증 아키텍처의 핵심은 JWT를 어디서 파싱하느냐가 아니라 신뢰 가능한 인증 문맥을 어떻게 표준 Header와 TransactionContext로 변환하고, 업무 로직까지 안전하게 전달하느냐다.</w:t>
      </w:r>
    </w:p>
    <w:tbl>
      <w:tblPr>
        <w:tblW w:type="auto" w:w="0"/>
        <w:jc w:val="center"/>
        <w:tblLook w:firstColumn="1" w:firstRow="1" w:lastColumn="0" w:lastRow="0" w:noHBand="0" w:noVBand="1" w:val="04A0"/>
      </w:tblPr>
      <w:tblGrid>
        <w:gridCol w:w="10262"/>
      </w:tblGrid>
      <w:tr>
        <w:tc>
          <w:tcPr>
            <w:tcW w:type="dxa" w:w="10262"/>
            <w:shd w:fill="F2F2F2"/>
            <w:tcBorders>
              <w:top w:sz="4" w:val="single" w:color="BFBFBF"/>
              <w:left w:sz="4" w:val="single" w:color="BFBFBF"/>
              <w:bottom w:sz="4" w:val="single" w:color="BFBFBF"/>
              <w:right w:sz="4" w:val="single" w:color="BFBFBF"/>
            </w:tcBorders>
          </w:tcPr>
          <w:p>
            <w:pPr>
              <w:spacing w:before="40" w:after="40"/>
            </w:pPr>
            <w:r>
              <w:rPr>
                <w:rFonts w:ascii="Noto Sans Mono CJK KR" w:hAnsi="Noto Sans Mono CJK KR" w:eastAsia="Noto Sans Mono CJK KR"/>
                <w:sz w:val="15"/>
              </w:rPr>
              <w:t>SSO / Login</w:t>
            </w:r>
            <w:r>
              <w:br/>
            </w:r>
            <w:r>
              <w:rPr>
                <w:rFonts w:ascii="Noto Sans Mono CJK KR" w:hAnsi="Noto Sans Mono CJK KR" w:eastAsia="Noto Sans Mono CJK KR"/>
                <w:sz w:val="15"/>
              </w:rPr>
              <w:t xml:space="preserve">    -&gt; tcf-jwt token issue / refresh / revoke</w:t>
            </w:r>
            <w:r>
              <w:br/>
            </w:r>
            <w:r>
              <w:rPr>
                <w:rFonts w:ascii="Noto Sans Mono CJK KR" w:hAnsi="Noto Sans Mono CJK KR" w:eastAsia="Noto Sans Mono CJK KR"/>
                <w:sz w:val="15"/>
              </w:rPr>
              <w:t xml:space="preserve">    -&gt; tcf-gateway JWT validation</w:t>
            </w:r>
            <w:r>
              <w:br/>
            </w:r>
            <w:r>
              <w:rPr>
                <w:rFonts w:ascii="Noto Sans Mono CJK KR" w:hAnsi="Noto Sans Mono CJK KR" w:eastAsia="Noto Sans Mono CJK KR"/>
                <w:sz w:val="15"/>
              </w:rPr>
              <w:t xml:space="preserve">    -&gt; Header normalization</w:t>
            </w:r>
            <w:r>
              <w:br/>
            </w:r>
            <w:r>
              <w:rPr>
                <w:rFonts w:ascii="Noto Sans Mono CJK KR" w:hAnsi="Noto Sans Mono CJK KR" w:eastAsia="Noto Sans Mono CJK KR"/>
                <w:sz w:val="15"/>
              </w:rPr>
              <w:t xml:space="preserve">    -&gt; Business WAR / TCF</w:t>
            </w:r>
            <w:r>
              <w:br/>
            </w:r>
            <w:r>
              <w:rPr>
                <w:rFonts w:ascii="Noto Sans Mono CJK KR" w:hAnsi="Noto Sans Mono CJK KR" w:eastAsia="Noto Sans Mono CJK KR"/>
                <w:sz w:val="15"/>
              </w:rPr>
              <w:t xml:space="preserve">    -&gt; STF defensive context check</w:t>
            </w:r>
            <w:r>
              <w:br/>
            </w:r>
            <w:r>
              <w:rPr>
                <w:rFonts w:ascii="Noto Sans Mono CJK KR" w:hAnsi="Noto Sans Mono CJK KR" w:eastAsia="Noto Sans Mono CJK KR"/>
                <w:sz w:val="15"/>
              </w:rPr>
              <w:t xml:space="preserve">    -&gt; Service / Rule authorization decision</w:t>
            </w:r>
            <w:r>
              <w:br/>
            </w:r>
            <w:r>
              <w:rPr>
                <w:rFonts w:ascii="Noto Sans Mono CJK KR" w:hAnsi="Noto Sans Mono CJK KR" w:eastAsia="Noto Sans Mono CJK KR"/>
                <w:sz w:val="15"/>
              </w:rPr>
              <w:t xml:space="preserve">    -&gt; Audit log</w:t>
            </w:r>
            <w:r>
              <w:br/>
            </w:r>
          </w:p>
        </w:tc>
      </w:tr>
    </w:tbl>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영역</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책임</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하지 말아야 할 일</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tcf-jwt</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Access/Refresh Token 발급, 갱신, 폐기, JWKS 제공</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 거래 처리, 업무 권한 최종 판단</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tcf-gateway</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JWT 1차 검증, 세션 검증, 라우팅, Header 보정</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 로직 수행, DB 업무 규칙 판단</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TCF/STF</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Header와 인증 문맥의 존재성·정합성 방어 검증</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Gateway 역할을 중복하여 무분별한 JWT 발급/파싱</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Service/Rule</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업무별 상세 권한, 데이터 권한, 상태 권한 판단</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인증 시스템 대체, 토큰 원문 직접 의존</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OM/운영</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사용자, 권한, 예외 ServiceId, 정책 승인·감사</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서명키 보관, 개발 임의 예외 승인</w:t>
            </w:r>
          </w:p>
        </w:tc>
      </w:tr>
    </w:tbl>
    <w:p/>
    <w:p>
      <w:pPr>
        <w:pStyle w:val="Heading2"/>
      </w:pPr>
      <w:r>
        <w:rPr>
          <w:rFonts w:ascii="Noto Sans CJK KR" w:hAnsi="Noto Sans CJK KR" w:eastAsia="Noto Sans CJK KR"/>
          <w:b/>
        </w:rPr>
        <w:t>2.12 Gateway 우회 방지와 방어 계층</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방어 수준</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조치</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판단 기준</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1차</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네트워크/L4/방화벽에서 클라이언트의 업무 WAR 직접 접근 차단</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운영 표준의 기본값이어야 함</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2차</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Tomcat Connector 접근 IP 제한 또는 내부망 전용 바인딩</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Gateway와 운영망만 접근 가능하게 설정</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3차</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 WAR 공통 인증 Filter 적용</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Gateway 우회 가능성이 조금이라도 남는 경우 필수</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4차</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STF 세션/권한 방어 검증 활성화</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표준 Header와 Context 누락 시 업무 진입 차단</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5차</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거래로그/감사로그에 인증 실패 기록</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우회 시도와 Header 위조를 추적 가능하게 함</w:t>
            </w:r>
          </w:p>
        </w:tc>
      </w:tr>
    </w:tbl>
    <w:p/>
    <w:p>
      <w:pPr>
        <w:pStyle w:val="Heading2"/>
      </w:pPr>
      <w:r>
        <w:rPr>
          <w:rFonts w:ascii="Noto Sans CJK KR" w:hAnsi="Noto Sans CJK KR" w:eastAsia="Noto Sans CJK KR"/>
          <w:b/>
        </w:rPr>
        <w:t>2.13 OM 운영관리 Control Plane</w:t>
      </w:r>
    </w:p>
    <w:p>
      <w:r>
        <w:rPr>
          <w:rFonts w:ascii="Noto Sans CJK KR" w:hAnsi="Noto Sans CJK KR" w:eastAsia="Noto Sans CJK KR"/>
        </w:rPr>
        <w:t>OM은 단순 관리자 화면이 아니라 런타임 정책을 관리하는 Control Plane이다. Service Catalog, 거래통제, Timeout, 오류코드, 공통코드, 권한, 환경설정, 배포 이력은 모두 운영 중 거래 흐름에 영향을 주는 정책 자산이다.</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OM 영역</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관리 대상</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런타임 영향</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 Catalog</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ServiceId, Handler, 업무코드, 권한, 감사 여부</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Dispatcher, 권한, 로그, Timeout 기준의 중심</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거래통제</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Header 7항 Allow/Block, 시간대, 채널, 사용자/지점 조건</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 Handler 진입 전 차단 가능</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Timeout 정책</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ServiceId별 처리 제한시간, DB Query Timeout, 외부연동 Timeout</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장애 전파 방지와 SLA 관리</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오류코드</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사용자 메시지, 운영 메시지, 조치 가이드</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ETF 응답 표준화와 운영 대응</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공통코드</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 공통 분류 코드</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화면/업무/배치 간 코드 정합성</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권한/메뉴</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메뉴, 기능, 데이터 권한</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화면 접근과 서비스 실행 권한 판단</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환경설정</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Profile, Endpoint, Feature Flag, Cache 정책</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배포 없는 정책 변경과 운영 안정성</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배포관리</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릴리즈, 배포 이력, Rollback 기준</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장애 시 원인 버전 추적</w:t>
            </w:r>
          </w:p>
        </w:tc>
      </w:tr>
    </w:tbl>
    <w:p/>
    <w:p>
      <w:pPr>
        <w:pStyle w:val="Heading2"/>
      </w:pPr>
      <w:r>
        <w:rPr>
          <w:rFonts w:ascii="Noto Sans CJK KR" w:hAnsi="Noto Sans CJK KR" w:eastAsia="Noto Sans CJK KR"/>
          <w:b/>
        </w:rPr>
        <w:t>2.14 OM 정책 반영과 캐시 무효화</w:t>
      </w:r>
    </w:p>
    <w:tbl>
      <w:tblPr>
        <w:tblW w:type="auto" w:w="0"/>
        <w:jc w:val="center"/>
        <w:tblLook w:firstColumn="1" w:firstRow="1" w:lastColumn="0" w:lastRow="0" w:noHBand="0" w:noVBand="1" w:val="04A0"/>
      </w:tblPr>
      <w:tblGrid>
        <w:gridCol w:w="10262"/>
      </w:tblGrid>
      <w:tr>
        <w:tc>
          <w:tcPr>
            <w:tcW w:type="dxa" w:w="10262"/>
            <w:shd w:fill="F2F2F2"/>
            <w:tcBorders>
              <w:top w:sz="4" w:val="single" w:color="BFBFBF"/>
              <w:left w:sz="4" w:val="single" w:color="BFBFBF"/>
              <w:bottom w:sz="4" w:val="single" w:color="BFBFBF"/>
              <w:right w:sz="4" w:val="single" w:color="BFBFBF"/>
            </w:tcBorders>
          </w:tcPr>
          <w:p>
            <w:pPr>
              <w:spacing w:before="40" w:after="40"/>
            </w:pPr>
            <w:r>
              <w:rPr>
                <w:rFonts w:ascii="Noto Sans Mono CJK KR" w:hAnsi="Noto Sans Mono CJK KR" w:eastAsia="Noto Sans Mono CJK KR"/>
                <w:sz w:val="15"/>
              </w:rPr>
              <w:t>OM Policy Change Flow</w:t>
            </w:r>
            <w:r>
              <w:br/>
            </w:r>
            <w:r>
              <w:rPr>
                <w:rFonts w:ascii="Noto Sans Mono CJK KR" w:hAnsi="Noto Sans Mono CJK KR" w:eastAsia="Noto Sans Mono CJK KR"/>
                <w:sz w:val="15"/>
              </w:rPr>
            </w:r>
            <w:r>
              <w:br/>
            </w:r>
            <w:r>
              <w:rPr>
                <w:rFonts w:ascii="Noto Sans Mono CJK KR" w:hAnsi="Noto Sans Mono CJK KR" w:eastAsia="Noto Sans Mono CJK KR"/>
                <w:sz w:val="15"/>
              </w:rPr>
              <w:t>Operator changes policy</w:t>
            </w:r>
            <w:r>
              <w:br/>
            </w:r>
            <w:r>
              <w:rPr>
                <w:rFonts w:ascii="Noto Sans Mono CJK KR" w:hAnsi="Noto Sans Mono CJK KR" w:eastAsia="Noto Sans Mono CJK KR"/>
                <w:sz w:val="15"/>
              </w:rPr>
              <w:t xml:space="preserve">    -&gt; Approval / audit history</w:t>
            </w:r>
            <w:r>
              <w:br/>
            </w:r>
            <w:r>
              <w:rPr>
                <w:rFonts w:ascii="Noto Sans Mono CJK KR" w:hAnsi="Noto Sans Mono CJK KR" w:eastAsia="Noto Sans Mono CJK KR"/>
                <w:sz w:val="15"/>
              </w:rPr>
              <w:t xml:space="preserve">    -&gt; Persist to OMDB</w:t>
            </w:r>
            <w:r>
              <w:br/>
            </w:r>
            <w:r>
              <w:rPr>
                <w:rFonts w:ascii="Noto Sans Mono CJK KR" w:hAnsi="Noto Sans Mono CJK KR" w:eastAsia="Noto Sans Mono CJK KR"/>
                <w:sz w:val="15"/>
              </w:rPr>
              <w:t xml:space="preserve">    -&gt; Publish cache eviction event</w:t>
            </w:r>
            <w:r>
              <w:br/>
            </w:r>
            <w:r>
              <w:rPr>
                <w:rFonts w:ascii="Noto Sans Mono CJK KR" w:hAnsi="Noto Sans Mono CJK KR" w:eastAsia="Noto Sans Mono CJK KR"/>
                <w:sz w:val="15"/>
              </w:rPr>
              <w:t xml:space="preserve">    -&gt; Runtime cache reload</w:t>
            </w:r>
            <w:r>
              <w:br/>
            </w:r>
            <w:r>
              <w:rPr>
                <w:rFonts w:ascii="Noto Sans Mono CJK KR" w:hAnsi="Noto Sans Mono CJK KR" w:eastAsia="Noto Sans Mono CJK KR"/>
                <w:sz w:val="15"/>
              </w:rPr>
              <w:t xml:space="preserve">    -&gt; New requests use new policy</w:t>
            </w:r>
            <w:r>
              <w:br/>
            </w:r>
            <w:r>
              <w:rPr>
                <w:rFonts w:ascii="Noto Sans Mono CJK KR" w:hAnsi="Noto Sans Mono CJK KR" w:eastAsia="Noto Sans Mono CJK KR"/>
                <w:sz w:val="15"/>
              </w:rPr>
              <w:t xml:space="preserve">    -&gt; Transaction log verifies applied policy version</w:t>
            </w:r>
            <w:r>
              <w:br/>
            </w:r>
          </w:p>
        </w:tc>
      </w:tr>
    </w:tbl>
    <w:tbl>
      <w:tblPr>
        <w:tblStyle w:val="TableGrid"/>
        <w:tblW w:type="auto" w:w="0"/>
        <w:jc w:val="center"/>
        <w:tblLook w:firstColumn="1" w:firstRow="1" w:lastColumn="0" w:lastRow="0" w:noHBand="0" w:noVBand="1" w:val="04A0"/>
      </w:tblPr>
      <w:tblGrid>
        <w:gridCol w:w="2565"/>
        <w:gridCol w:w="2565"/>
        <w:gridCol w:w="2565"/>
        <w:gridCol w:w="2565"/>
      </w:tblGrid>
      <w:tr>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정책 유형</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캐시 가능 여부</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무효화 기준</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주의사항</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 Catalog</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가능</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ServiceId 등록/변경/폐기 시</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캐시 불일치 시 Handler 미등록 또는 구버전 정책 적용 가능</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거래통제</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가능하나 즉시성 중요</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차단/해제 변경 즉시</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긴급 차단은 캐시 TTL에 의존하지 않아야 함</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Timeout 정책</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가능</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정책 변경 시</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진행 중 거래에는 소급 적용하지 않는 것이 원칙</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권한</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부분 가능</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권한그룹/사용자 권한 변경 시</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세션·토큰 정책과 연동 필요</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오류코드/공통코드</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가능</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코드 변경 승인 후</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화면 표시와 업무 판단 코드의 정합성 검증 필요</w:t>
            </w:r>
          </w:p>
        </w:tc>
      </w:tr>
    </w:tbl>
    <w:p/>
    <w:p>
      <w:pPr>
        <w:pStyle w:val="Heading2"/>
      </w:pPr>
      <w:r>
        <w:rPr>
          <w:rFonts w:ascii="Noto Sans CJK KR" w:hAnsi="Noto Sans CJK KR" w:eastAsia="Noto Sans CJK KR"/>
          <w:b/>
        </w:rPr>
        <w:t>2.15 데이터 아키텍처와 DB 책임 경계</w:t>
      </w:r>
    </w:p>
    <w:p>
      <w:r>
        <w:rPr>
          <w:rFonts w:ascii="Noto Sans CJK KR" w:hAnsi="Noto Sans CJK KR" w:eastAsia="Noto Sans CJK KR"/>
        </w:rPr>
        <w:t>NSIGHT TCF의 데이터 아키텍처는 업무 데이터 저장소와 운영/로그/세션 저장소를 구분해야 한다. 온라인 거래가 RDW/ADW, OMDB, LOGDB, SESSIONDB를 혼재해서 사용할 수 있으므로, DataSource와 Mapper 책임 경계를 명확히 하지 않으면 장애 영향 범위가 급격히 커진다.</w:t>
      </w:r>
    </w:p>
    <w:tbl>
      <w:tblPr>
        <w:tblStyle w:val="TableGrid"/>
        <w:tblW w:type="auto" w:w="0"/>
        <w:jc w:val="center"/>
        <w:tblLook w:firstColumn="1" w:firstRow="1" w:lastColumn="0" w:lastRow="0" w:noHBand="0" w:noVBand="1" w:val="04A0"/>
      </w:tblPr>
      <w:tblGrid>
        <w:gridCol w:w="2565"/>
        <w:gridCol w:w="2565"/>
        <w:gridCol w:w="2565"/>
        <w:gridCol w:w="2565"/>
      </w:tblGrid>
      <w:tr>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저장소</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용도</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접근 원칙</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대표 리스크</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RDW</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조회성 기준/집계 데이터</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조회 중심, 대량 조회 최적화, ReadOnly 권장</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대량 조회로 인한 DB 부하, Index 누락</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ADW</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분석/캠페인/집계 데이터</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 목적별 접근 통제</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온라인 거래와 분석성 부하 충돌</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OMDB</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 Catalog, 권한, 공통코드, 정책</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운영 기준정보 정합성 우선</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운영 변경 이력 누락, 승인 없는 변경</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LOGDB</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거래로그, 감사로그, 오류로그</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쓰기 성능과 파티션/보관주기 설계</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로그 폭증, 개인정보 노출, 검색 성능 저하</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SESSIONDB</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Spring Session, 사용자 세션 보조 정보</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세션 만료/삭제/복제 기준 준수</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세션 정합성, DB 장애 시 로그인 영향</w:t>
            </w:r>
          </w:p>
        </w:tc>
      </w:tr>
    </w:tbl>
    <w:p/>
    <w:p>
      <w:pPr>
        <w:pStyle w:val="Heading2"/>
      </w:pPr>
      <w:r>
        <w:rPr>
          <w:rFonts w:ascii="Noto Sans CJK KR" w:hAnsi="Noto Sans CJK KR" w:eastAsia="Noto Sans CJK KR"/>
          <w:b/>
        </w:rPr>
        <w:t>2.16 MyBatis·SQL 설계 기준</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항목</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기준</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마스터 검토 포인트</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SQL ID</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ServiceId 또는 업무 의미와 연결되는 명명 사용</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로그에서 SQL 원인까지 추적 가능한가?</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Mapper XML</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업무/도메인별 분리, ResultMap 명확화</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공통 SQL Fragment 남용으로 가독성이 떨어지지 않는가?</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Timeout</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DB Query Timeout은 TCF Timeout보다 짧게 설계</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AP Timeout보다 DB가 늦게 끝나지 않는가?</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페이징</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업무팀 책임으로 명확히 구현하되 Count/목록 SQL 분리</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온라인 대량 조회를 제한할 수 있는가?</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동적 SQL</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조건 분기 최소화, IN 조건 크기 제한</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실행 계획이 안정적인가?</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Index</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WHERE, ORDER BY, GUID, SERVICE_ID, 시간 기준 설계</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운영 조회와 장애 추적 쿼리를 모두 만족하는가?</w:t>
            </w:r>
          </w:p>
        </w:tc>
      </w:tr>
    </w:tbl>
    <w:p/>
    <w:p>
      <w:pPr>
        <w:pStyle w:val="Heading2"/>
      </w:pPr>
      <w:r>
        <w:rPr>
          <w:rFonts w:ascii="Noto Sans CJK KR" w:hAnsi="Noto Sans CJK KR" w:eastAsia="Noto Sans CJK KR"/>
          <w:b/>
        </w:rPr>
        <w:t>2.17 Gateway·UI 채널 아키텍처</w:t>
      </w:r>
    </w:p>
    <w:p>
      <w:r>
        <w:rPr>
          <w:rFonts w:ascii="Noto Sans CJK KR" w:hAnsi="Noto Sans CJK KR" w:eastAsia="Noto Sans CJK KR"/>
        </w:rPr>
        <w:t>Gateway는 단순 Reverse Proxy가 아니라 인증, 라우팅, Header 보정, Gateway 거래로그의 책임을 갖는 진입 통제 계층이다. UI 채널은 WebTopSuite, DataEye, React, WebSquare 등 다양한 형태가 될 수 있지만, 업무 WAR 관점에서는 표준 전문과 ServiceId 계약을 지켜야 한다.</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구성</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책임</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설계 기준</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Gateway Route</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업무코드/Context 기준 라우팅</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라우팅 규칙은 업무코드와 Context Path 표준을 따라야 한다.</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Gateway STF/GRF/GSF/GEF</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Gateway 전처리/라우팅/후처리/오류 처리</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인증 실패와 업무 오류를 구분해 응답해야 한다.</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tcf-ui/tcf-uj</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UI 채널, Relay, Gateway UI 보조</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UI는 업무 로직을 갖지 않고 표준 전문 호출을 유지한다.</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외부 REST 연계</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외부 시스템 호출 경계</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내부 ServiceId 체계와 외부 API 계약을 분리한다.</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채널 ID</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UI/외부/배치/관리 채널 구분</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채널별 거래통제와 감사 기준을 적용한다.</w:t>
            </w:r>
          </w:p>
        </w:tc>
      </w:tr>
    </w:tbl>
    <w:p/>
    <w:p>
      <w:pPr>
        <w:pStyle w:val="Heading2"/>
      </w:pPr>
      <w:r>
        <w:rPr>
          <w:rFonts w:ascii="Noto Sans CJK KR" w:hAnsi="Noto Sans CJK KR" w:eastAsia="Noto Sans CJK KR"/>
          <w:b/>
        </w:rPr>
        <w:t>2.18 Batch·Scheduler·Event·EAI 구조</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영역</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설계 원칙</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운영 관점</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Batch</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온라인 거래와 자원 경합을 분리하고 Job 단위 상태를 관리한다.</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Job 이력, 재시작, 중복 실행 방지, 실행 시간대 통제</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Scheduler</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주기 실행 기준과 서버 다중화 시 단일 실행 보장을 명확히 한다.</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Lock, Leader Election, 중복 방지, 실패 알림</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Event Bridge</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이벤트 수신과 처리 책임을 분리한다.</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수신 성공과 처리 성공을 별도 기록</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Event Processor</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이벤트 재처리와 DLQ 기준을 마련한다.</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멱등성, 순서 보장, 실패 재처리</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tcf-eai</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서비스 간 연동과 외부 호출을 표준 Client로 캡슐화한다.</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Timeout, Retry, Circuit Breaker, 호출 로그</w:t>
            </w:r>
          </w:p>
        </w:tc>
      </w:tr>
    </w:tbl>
    <w:p/>
    <w:p>
      <w:pPr>
        <w:pStyle w:val="Heading2"/>
      </w:pPr>
      <w:r>
        <w:rPr>
          <w:rFonts w:ascii="Noto Sans CJK KR" w:hAnsi="Noto Sans CJK KR" w:eastAsia="Noto Sans CJK KR"/>
          <w:b/>
        </w:rPr>
        <w:t>2.19 품질 속성 아키텍처</w:t>
      </w:r>
    </w:p>
    <w:p>
      <w:r>
        <w:rPr>
          <w:rFonts w:ascii="Noto Sans CJK KR" w:hAnsi="Noto Sans CJK KR" w:eastAsia="Noto Sans CJK KR"/>
        </w:rPr>
        <w:t>마스터급 설계 검토에서는 기능 목록보다 품질 속성 시나리오가 중요하다. 동일한 기능이라도 장애 시 전파 방식, Timeout 예산, 로그 추적 가능성, 보안 경계가 다르면 완전히 다른 아키텍처가 된다.</w:t>
      </w:r>
    </w:p>
    <w:tbl>
      <w:tblPr>
        <w:tblStyle w:val="TableGrid"/>
        <w:tblW w:type="auto" w:w="0"/>
        <w:jc w:val="center"/>
        <w:tblLook w:firstColumn="1" w:firstRow="1" w:lastColumn="0" w:lastRow="0" w:noHBand="0" w:noVBand="1" w:val="04A0"/>
      </w:tblPr>
      <w:tblGrid>
        <w:gridCol w:w="2565"/>
        <w:gridCol w:w="2565"/>
        <w:gridCol w:w="2565"/>
        <w:gridCol w:w="2565"/>
      </w:tblGrid>
      <w:tr>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품질 속성</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목표</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TCF 적용 메커니즘</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검증 방법</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성능</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피크 TPS와 p95 응답시간 만족</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Thread/DB Pool/Timeout/Cache/SQL Index</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성능 테스트, Thread/Pool 사용률, SQL 응답시간</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가용성</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센터/서버 장애 시 서비스 지속</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GSLB/L4, 다중 WAR, 세션 저장소, DR 절차</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Failover 테스트, DR 리허설</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보안</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인증 우회와 권한 오남용 차단</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Gateway JWT, STF 방어 검증, OM 권한, 감사로그</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보안 테스트, Header 위조 테스트</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관측성</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장애 원인 추적 가능</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GUID, TRACE_ID, MDC, 거래로그, 감사로그</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GUID 기반 End-to-End 로그 추적</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유지보수성</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 추가와 변경 영향 최소화</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ServiceId, 6계층, 명명규칙, Catalog</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코드 리뷰, 영향도 분석</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운영통제성</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배포 없이 거래 차단/정책 변경 가능</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OM 거래통제, Timeout, Feature Flag, Cache Evict</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운영 시나리오 테스트</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테스트성</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거래 단위 자동 검증 가능</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표준 전문, Handler Test, Mapper Test, 품질 게이트</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CI/CD 품질 게이트</w:t>
            </w:r>
          </w:p>
        </w:tc>
      </w:tr>
    </w:tbl>
    <w:p/>
    <w:p>
      <w:pPr>
        <w:pStyle w:val="Heading2"/>
      </w:pPr>
      <w:r>
        <w:rPr>
          <w:rFonts w:ascii="Noto Sans CJK KR" w:hAnsi="Noto Sans CJK KR" w:eastAsia="Noto Sans CJK KR"/>
          <w:b/>
        </w:rPr>
        <w:t>2.20 Timeout Budget 설계</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구간</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권장 기준</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설계 이유</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Client/UI</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사용자 체감 Timeout은 AP 처리 Timeout보다 길게</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사용자 재시도와 서버 처리 중복을 방지</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Gateway</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 WAR Timeout보다 약간 길게</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Gateway가 먼저 끊어 업무 결과를 잃지 않도록 조정</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TCF Service Timeout</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거래별 SLA 기준으로 OM에서 관리</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업무별 중요도와 처리 특성 반영</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DB Query Timeout</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Service Timeout보다 짧게</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AP Thread 점유와 Connection 고갈 방지</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외부 연동 Timeout</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전체 거래 예산 안에서 가장 엄격히 통제</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외부 장애가 내부 서비스로 전파되지 않게 제한</w:t>
            </w:r>
          </w:p>
        </w:tc>
      </w:tr>
    </w:tbl>
    <w:p/>
    <w:tbl>
      <w:tblPr>
        <w:tblW w:type="auto" w:w="0"/>
        <w:jc w:val="center"/>
        <w:tblLook w:firstColumn="1" w:firstRow="1" w:lastColumn="0" w:lastRow="0" w:noHBand="0" w:noVBand="1" w:val="04A0"/>
      </w:tblPr>
      <w:tblGrid>
        <w:gridCol w:w="10262"/>
      </w:tblGrid>
      <w:tr>
        <w:tc>
          <w:tcPr>
            <w:tcW w:type="dxa" w:w="10262"/>
            <w:shd w:fill="F2F2F2"/>
            <w:tcBorders>
              <w:top w:sz="4" w:val="single" w:color="BFBFBF"/>
              <w:left w:sz="4" w:val="single" w:color="BFBFBF"/>
              <w:bottom w:sz="4" w:val="single" w:color="BFBFBF"/>
              <w:right w:sz="4" w:val="single" w:color="BFBFBF"/>
            </w:tcBorders>
          </w:tcPr>
          <w:p>
            <w:pPr>
              <w:spacing w:before="40" w:after="40"/>
            </w:pPr>
            <w:r>
              <w:rPr>
                <w:rFonts w:ascii="Noto Sans Mono CJK KR" w:hAnsi="Noto Sans Mono CJK KR" w:eastAsia="Noto Sans Mono CJK KR"/>
                <w:sz w:val="15"/>
              </w:rPr>
              <w:t>Timeout Budget Example</w:t>
            </w:r>
            <w:r>
              <w:br/>
            </w:r>
            <w:r>
              <w:rPr>
                <w:rFonts w:ascii="Noto Sans Mono CJK KR" w:hAnsi="Noto Sans Mono CJK KR" w:eastAsia="Noto Sans Mono CJK KR"/>
                <w:sz w:val="15"/>
              </w:rPr>
            </w:r>
            <w:r>
              <w:br/>
            </w:r>
            <w:r>
              <w:rPr>
                <w:rFonts w:ascii="Noto Sans Mono CJK KR" w:hAnsi="Noto Sans Mono CJK KR" w:eastAsia="Noto Sans Mono CJK KR"/>
                <w:sz w:val="15"/>
              </w:rPr>
              <w:t>Client timeout       &gt; Gateway read timeout</w:t>
            </w:r>
            <w:r>
              <w:br/>
            </w:r>
            <w:r>
              <w:rPr>
                <w:rFonts w:ascii="Noto Sans Mono CJK KR" w:hAnsi="Noto Sans Mono CJK KR" w:eastAsia="Noto Sans Mono CJK KR"/>
                <w:sz w:val="15"/>
              </w:rPr>
              <w:t>Gateway read timeout &gt; TCF service timeout</w:t>
            </w:r>
            <w:r>
              <w:br/>
            </w:r>
            <w:r>
              <w:rPr>
                <w:rFonts w:ascii="Noto Sans Mono CJK KR" w:hAnsi="Noto Sans Mono CJK KR" w:eastAsia="Noto Sans Mono CJK KR"/>
                <w:sz w:val="15"/>
              </w:rPr>
              <w:t>TCF service timeout  &gt; DB query timeout</w:t>
            </w:r>
            <w:r>
              <w:br/>
            </w:r>
            <w:r>
              <w:rPr>
                <w:rFonts w:ascii="Noto Sans Mono CJK KR" w:hAnsi="Noto Sans Mono CJK KR" w:eastAsia="Noto Sans Mono CJK KR"/>
                <w:sz w:val="15"/>
              </w:rPr>
              <w:t>TCF service timeout  &gt; External call timeout + fallback budget</w:t>
            </w:r>
            <w:r>
              <w:br/>
            </w:r>
          </w:p>
        </w:tc>
      </w:tr>
    </w:tbl>
    <w:p>
      <w:pPr>
        <w:pStyle w:val="Heading2"/>
      </w:pPr>
      <w:r>
        <w:rPr>
          <w:rFonts w:ascii="Noto Sans CJK KR" w:hAnsi="Noto Sans CJK KR" w:eastAsia="Noto Sans CJK KR"/>
          <w:b/>
        </w:rPr>
        <w:t>2.21 로그·감사·관측성 설계</w:t>
      </w:r>
    </w:p>
    <w:tbl>
      <w:tblPr>
        <w:tblStyle w:val="TableGrid"/>
        <w:tblW w:type="auto" w:w="0"/>
        <w:jc w:val="center"/>
        <w:tblLook w:firstColumn="1" w:firstRow="1" w:lastColumn="0" w:lastRow="0" w:noHBand="0" w:noVBand="1" w:val="04A0"/>
      </w:tblPr>
      <w:tblGrid>
        <w:gridCol w:w="2565"/>
        <w:gridCol w:w="2565"/>
        <w:gridCol w:w="2565"/>
        <w:gridCol w:w="2565"/>
      </w:tblGrid>
      <w:tr>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로그 유형</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필수 키</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목적</w:t>
            </w:r>
          </w:p>
        </w:tc>
        <w:tc>
          <w:tcPr>
            <w:tcW w:type="dxa" w:w="2565"/>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주의사항</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거래로그</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GUID, TRACE_ID, SERVICE_ID, TRANSACTION_CODE, USER_ID, RESULT</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거래 시작/종료, 성능, 성공/실패 분석</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대량 로그 파티션과 보관주기 필요</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감사로그</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USER_ID, BRANCH_ID, SERVICE_ID, FUNCTION_CODE, TARGET_ID</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권한, 개인정보, 중요 변경 이력 추적</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민감정보 원문 저장 금지</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오류로그</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ERROR_CODE, TRACE_ID, STACK_HASH, SERVICE_ID</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장애 원인 분석과 오류 분류</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사용자 메시지와 운영 메시지 분리</w:t>
            </w:r>
          </w:p>
        </w:tc>
      </w:tr>
      <w:tr>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Gateway 로그</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CLIENT_IP, ROUTE_ID, TOKEN_ID, BUSINESS_CODE</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인증 실패, 라우팅 실패, 우회 시도 추적</w:t>
            </w:r>
          </w:p>
        </w:tc>
        <w:tc>
          <w:tcPr>
            <w:tcW w:type="dxa" w:w="2565"/>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토큰 원문 저장 금지</w:t>
            </w:r>
          </w:p>
        </w:tc>
      </w:tr>
      <w:tr>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Batch 로그</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JOB_ID, EXECUTION_ID, STEP_ID, RESULT</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배치 실행, 재처리, 중복 방지</w:t>
            </w:r>
          </w:p>
        </w:tc>
        <w:tc>
          <w:tcPr>
            <w:tcW w:type="dxa" w:w="2565"/>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부분 성공/실패 기준 명확화</w:t>
            </w:r>
          </w:p>
        </w:tc>
      </w:tr>
    </w:tbl>
    <w:p/>
    <w:tbl>
      <w:tblPr>
        <w:tblW w:type="auto" w:w="0"/>
        <w:jc w:val="center"/>
        <w:tblLook w:firstColumn="1" w:firstRow="1" w:lastColumn="0" w:lastRow="0" w:noHBand="0" w:noVBand="1" w:val="04A0"/>
      </w:tblPr>
      <w:tblGrid>
        <w:gridCol w:w="10262"/>
      </w:tblGrid>
      <w:tr>
        <w:tc>
          <w:tcPr>
            <w:tcW w:type="dxa" w:w="10262"/>
            <w:shd w:fill="F2F2F2"/>
            <w:tcBorders>
              <w:top w:sz="4" w:val="single" w:color="BFBFBF"/>
              <w:left w:sz="4" w:val="single" w:color="BFBFBF"/>
              <w:bottom w:sz="4" w:val="single" w:color="BFBFBF"/>
              <w:right w:sz="4" w:val="single" w:color="BFBFBF"/>
            </w:tcBorders>
          </w:tcPr>
          <w:p>
            <w:pPr>
              <w:spacing w:before="40" w:after="40"/>
            </w:pPr>
            <w:r>
              <w:rPr>
                <w:rFonts w:ascii="Noto Sans Mono CJK KR" w:hAnsi="Noto Sans Mono CJK KR" w:eastAsia="Noto Sans Mono CJK KR"/>
                <w:sz w:val="15"/>
              </w:rPr>
              <w:t>Troubleshooting Path</w:t>
            </w:r>
            <w:r>
              <w:br/>
            </w:r>
            <w:r>
              <w:rPr>
                <w:rFonts w:ascii="Noto Sans Mono CJK KR" w:hAnsi="Noto Sans Mono CJK KR" w:eastAsia="Noto Sans Mono CJK KR"/>
                <w:sz w:val="15"/>
              </w:rPr>
            </w:r>
            <w:r>
              <w:br/>
            </w:r>
            <w:r>
              <w:rPr>
                <w:rFonts w:ascii="Noto Sans Mono CJK KR" w:hAnsi="Noto Sans Mono CJK KR" w:eastAsia="Noto Sans Mono CJK KR"/>
                <w:sz w:val="15"/>
              </w:rPr>
              <w:t>1. 사용자 문의에서 시간, 화면, 사용자ID 확보</w:t>
            </w:r>
            <w:r>
              <w:br/>
            </w:r>
            <w:r>
              <w:rPr>
                <w:rFonts w:ascii="Noto Sans Mono CJK KR" w:hAnsi="Noto Sans Mono CJK KR" w:eastAsia="Noto Sans Mono CJK KR"/>
                <w:sz w:val="15"/>
              </w:rPr>
              <w:t>2. SERVICE_ID 또는 화면번호 확인</w:t>
            </w:r>
            <w:r>
              <w:br/>
            </w:r>
            <w:r>
              <w:rPr>
                <w:rFonts w:ascii="Noto Sans Mono CJK KR" w:hAnsi="Noto Sans Mono CJK KR" w:eastAsia="Noto Sans Mono CJK KR"/>
                <w:sz w:val="15"/>
              </w:rPr>
              <w:t>3. GUID / TRACE_ID 검색</w:t>
            </w:r>
            <w:r>
              <w:br/>
            </w:r>
            <w:r>
              <w:rPr>
                <w:rFonts w:ascii="Noto Sans Mono CJK KR" w:hAnsi="Noto Sans Mono CJK KR" w:eastAsia="Noto Sans Mono CJK KR"/>
                <w:sz w:val="15"/>
              </w:rPr>
              <w:t>4. Gateway 로그에서 인증·라우팅 확인</w:t>
            </w:r>
            <w:r>
              <w:br/>
            </w:r>
            <w:r>
              <w:rPr>
                <w:rFonts w:ascii="Noto Sans Mono CJK KR" w:hAnsi="Noto Sans Mono CJK KR" w:eastAsia="Noto Sans Mono CJK KR"/>
                <w:sz w:val="15"/>
              </w:rPr>
              <w:t>5. TCF_TX_LOG에서 시작/종료/Timeout 확인</w:t>
            </w:r>
            <w:r>
              <w:br/>
            </w:r>
            <w:r>
              <w:rPr>
                <w:rFonts w:ascii="Noto Sans Mono CJK KR" w:hAnsi="Noto Sans Mono CJK KR" w:eastAsia="Noto Sans Mono CJK KR"/>
                <w:sz w:val="15"/>
              </w:rPr>
              <w:t>6. Error Log에서 ERROR_CODE와 Stack Hash 확인</w:t>
            </w:r>
            <w:r>
              <w:br/>
            </w:r>
            <w:r>
              <w:rPr>
                <w:rFonts w:ascii="Noto Sans Mono CJK KR" w:hAnsi="Noto Sans Mono CJK KR" w:eastAsia="Noto Sans Mono CJK KR"/>
                <w:sz w:val="15"/>
              </w:rPr>
              <w:t>7. SQL ID와 DB 실행시간 확인</w:t>
            </w:r>
            <w:r>
              <w:br/>
            </w:r>
            <w:r>
              <w:rPr>
                <w:rFonts w:ascii="Noto Sans Mono CJK KR" w:hAnsi="Noto Sans Mono CJK KR" w:eastAsia="Noto Sans Mono CJK KR"/>
                <w:sz w:val="15"/>
              </w:rPr>
              <w:t>8. OM 정책 버전과 거래통제/Timeout 변경 이력 확인</w:t>
            </w:r>
            <w:r>
              <w:br/>
            </w:r>
          </w:p>
        </w:tc>
      </w:tr>
    </w:tbl>
    <w:p>
      <w:pPr>
        <w:pStyle w:val="Heading2"/>
      </w:pPr>
      <w:r>
        <w:rPr>
          <w:rFonts w:ascii="Noto Sans CJK KR" w:hAnsi="Noto Sans CJK KR" w:eastAsia="Noto Sans CJK KR"/>
          <w:b/>
        </w:rPr>
        <w:t>2.22 배포·CI/CD·운영전환 아키텍처</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영역</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기준</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검증 포인트</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Gradle 멀티모듈</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공통 모듈과 업무 WAR 의존성 분리</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 WAR가 불필요한 플랫폼 모듈에 의존하지 않는가?</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bootRun</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로컬 개발·단위 검증용</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운영 배포 방식과 설정 차이를 문서화했는가?</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Tomcat WAR</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운영 표준 배포 단위</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Context Path, Port, JVM, Thread, Pool 기준이 정합적인가?</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CI/CD</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Build, Test, Static Check, Package, Deploy Gate</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품질 게이트 실패 시 배포 차단되는가?</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Rollback</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소스, 설정, DB, OM 기준정보 Rollback을 함께 설계</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기준정보만 롤백하거나 소스만 롤백하는 위험을 통제하는가?</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운영전환</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체크리스트 기반 승인</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로그, 모니터링, 권한, 거래통제, DR 시나리오가 모두 검증됐는가?</w:t>
            </w:r>
          </w:p>
        </w:tc>
      </w:tr>
    </w:tbl>
    <w:p/>
    <w:p>
      <w:pPr>
        <w:pStyle w:val="Heading2"/>
      </w:pPr>
      <w:r>
        <w:rPr>
          <w:rFonts w:ascii="Noto Sans CJK KR" w:hAnsi="Noto Sans CJK KR" w:eastAsia="Noto Sans CJK KR"/>
          <w:b/>
        </w:rPr>
        <w:t>2.23 17업무 WAR 확장 전략</w:t>
      </w:r>
    </w:p>
    <w:p>
      <w:r>
        <w:rPr>
          <w:rFonts w:ascii="Noto Sans CJK KR" w:hAnsi="Noto Sans CJK KR" w:eastAsia="Noto Sans CJK KR"/>
        </w:rPr>
        <w:t>업무 WAR 확장은 단순히 WAR 파일 수를 늘리는 문제가 아니다. 업무코드, Context, Package, ServiceId, Gateway Route, OM Catalog, 배포 파이프라인, 모니터링 대시보드가 함께 확장되어야 한다.</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확장 항목</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표준화 대상</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위험 통제 기준</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업무코드</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WAR, Package, DB Prefix, ServiceId Prefix</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 간 이름 충돌 방지</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Context Path</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/sv, /ic, /cm 등 업무별 Path</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Gateway Route와 L4/Apache 설정 정합성</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공통 모듈 의존성</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tcf-core, tcf-web, tcf-util, tcf-cache 등</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버전 불일치와 순환 의존 방지</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배포 단위</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업무별 WAR 또는 그룹별 WAR</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장애 영향 범위와 운영 복잡도 균형</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모니터링</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업무코드/ServiceId별 대시보드</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전체 장애와 업무별 장애를 구분</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용량 관리</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Thread, HikariCP, Heap, Metaspace, 세션</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WAR 수 증가에 따른 메모리/커넥션 중복 고려</w:t>
            </w:r>
          </w:p>
        </w:tc>
      </w:tr>
    </w:tbl>
    <w:p/>
    <w:p>
      <w:pPr>
        <w:pStyle w:val="Heading2"/>
      </w:pPr>
      <w:r>
        <w:rPr>
          <w:rFonts w:ascii="Noto Sans CJK KR" w:hAnsi="Noto Sans CJK KR" w:eastAsia="Noto Sans CJK KR"/>
          <w:b/>
        </w:rPr>
        <w:t>2.24 성능·용량 검토 관점</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자원</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검토 기준</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위험 신호</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Tomcat Thread</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TPS × 평균응답시간 × 여유율로 산정</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Busy Thread 70% 초과, Queue 증가</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HikariCP</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DB 처리량과 SQL 평균시간 기준으로 산정</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Pool 사용률 80% 초과, Connection Timeout</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JVM Heap</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업무 객체, 캐시, 세션 참조, GC 여유율 반영</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Full GC, Old 영역 급증, 긴 Stop-the-world</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Metaspace</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WAR 수, ClassLoader, 라이브러리 중복 반영</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Redeploy 후 Metaspace 증가</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DB</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SQL 응답시간, Index, Lock, Partition 기준 관리</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평균 SQL 지연, Lock Wait, Temp 사용량 급증</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Network/Gateway</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KeepAlive, Connection, Read Timeout 조정</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Gateway 5xx 증가, 라우팅 지연</w:t>
            </w:r>
          </w:p>
        </w:tc>
      </w:tr>
    </w:tbl>
    <w:p/>
    <w:p>
      <w:pPr>
        <w:pStyle w:val="Heading2"/>
      </w:pPr>
      <w:r>
        <w:rPr>
          <w:rFonts w:ascii="Noto Sans CJK KR" w:hAnsi="Noto Sans CJK KR" w:eastAsia="Noto Sans CJK KR"/>
          <w:b/>
        </w:rPr>
        <w:t>2.25 보안·개인정보·감사 통제</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통제 영역</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설계 기준</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운영 검증</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토큰</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RS256, JWKS, exp, jti, DenyList, Refresh Rotation</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만료/폐기/재사용 탐지 테스트</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Header 위조 방지</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Gateway에서 JWT Claim 기준으로 Header 보정</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Header userId와 JWT userId 불일치 차단</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권한</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메뉴/기능/데이터 권한 분리</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화면 버튼 권한과 ServiceId 권한 불일치 테스트</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개인정보 로그</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토큰/주민번호/계좌번호 원문 저장 금지</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로그 샘플링과 마스킹 점검</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감사</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중요 조회/변경/다운로드 감사로그 필수</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USER_ID, BRANCH_ID, TARGET, 사유 추적 가능</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운영 변경</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OM 정책 변경 승인과 이력 저장</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누가 언제 무엇을 바꿨는지 추적 가능</w:t>
            </w:r>
          </w:p>
        </w:tc>
      </w:tr>
    </w:tbl>
    <w:p/>
    <w:p>
      <w:pPr>
        <w:pStyle w:val="Heading2"/>
      </w:pPr>
      <w:r>
        <w:rPr>
          <w:rFonts w:ascii="Noto Sans CJK KR" w:hAnsi="Noto Sans CJK KR" w:eastAsia="Noto Sans CJK KR"/>
          <w:b/>
        </w:rPr>
        <w:t>2.26 소스·설계 Gap 관리</w:t>
      </w:r>
    </w:p>
    <w:p>
      <w:r>
        <w:rPr>
          <w:rFonts w:ascii="Noto Sans CJK KR" w:hAnsi="Noto Sans CJK KR" w:eastAsia="Noto Sans CJK KR"/>
        </w:rPr>
        <w:t>마스터 문서는 이상적인 구조만 제시해서는 안 된다. 실제 소스, OM 기준정보, 배포 환경, 운영 절차와의 차이를 관리해야 한다. Gap 관리는 “문제 목록”이 아니라 운영 전환 리스크를 우선순위화하는 활동이다.</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우선순위</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Gap 유형</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보완 기준</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P1</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운영 반영 전 필수</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Gateway 우회 차단, JWT DenyList, Header Strict, ServiceId Catalog 정합성, 거래통제 필수 등록</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P2</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운영 안정성 강화</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Timeout 정책 세분화, Cache 무효화 자동화, 로그/감사 대시보드, SQL 성능 기준</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P3</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확장·생산성</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신규 WAR 템플릿, 코드 생성, 테스트 자동화, ADR 관리, 문서 자동 갱신</w:t>
            </w:r>
          </w:p>
        </w:tc>
      </w:tr>
    </w:tbl>
    <w:p/>
    <w:tbl>
      <w:tblPr>
        <w:tblStyle w:val="TableGrid"/>
        <w:tblW w:type="auto" w:w="0"/>
        <w:jc w:val="center"/>
        <w:tblLook w:firstColumn="1" w:firstRow="1" w:lastColumn="0" w:lastRow="0" w:noHBand="0" w:noVBand="1" w:val="04A0"/>
      </w:tblPr>
      <w:tblGrid>
        <w:gridCol w:w="5131"/>
        <w:gridCol w:w="5131"/>
      </w:tblGrid>
      <w:tr>
        <w:tc>
          <w:tcPr>
            <w:tcW w:type="dxa" w:w="513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검토 축</w:t>
            </w:r>
          </w:p>
        </w:tc>
        <w:tc>
          <w:tcPr>
            <w:tcW w:type="dxa" w:w="513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확인 질문</w:t>
            </w:r>
          </w:p>
        </w:tc>
      </w:tr>
      <w:tr>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설계-코드 정합성</w:t>
            </w:r>
          </w:p>
        </w:tc>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문서의 Handler/ServiceId/Module 명칭이 실제 소스와 일치하는가?</w:t>
            </w:r>
          </w:p>
        </w:tc>
      </w:tr>
      <w:tr>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코드-OM 정합성</w:t>
            </w:r>
          </w:p>
        </w:tc>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실제 Handler가 OM_SERVICE_CATALOG와 거래통제에 등록되어 있는가?</w:t>
            </w:r>
          </w:p>
        </w:tc>
      </w:tr>
      <w:tr>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OM-운영 정합성</w:t>
            </w:r>
          </w:p>
        </w:tc>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운영자가 변경 가능한 정책과 배포가 필요한 정책이 구분되어 있는가?</w:t>
            </w:r>
          </w:p>
        </w:tc>
      </w:tr>
      <w:tr>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로그-장애 정합성</w:t>
            </w:r>
          </w:p>
        </w:tc>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장애 시 GUID 하나로 Gateway, TCF, SQL, 감사로그를 연결할 수 있는가?</w:t>
            </w:r>
          </w:p>
        </w:tc>
      </w:tr>
      <w:tr>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배포-롤백 정합성</w:t>
            </w:r>
          </w:p>
        </w:tc>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WAR, 설정, DB, OM 기준정보를 동일 릴리즈 단위로 되돌릴 수 있는가?</w:t>
            </w:r>
          </w:p>
        </w:tc>
      </w:tr>
    </w:tbl>
    <w:p/>
    <w:p>
      <w:pPr>
        <w:pStyle w:val="Heading2"/>
      </w:pPr>
      <w:r>
        <w:rPr>
          <w:rFonts w:ascii="Noto Sans CJK KR" w:hAnsi="Noto Sans CJK KR" w:eastAsia="Noto Sans CJK KR"/>
          <w:b/>
        </w:rPr>
        <w:t>2.27 아키텍처 의사결정 기록(ADR) 기준</w:t>
      </w:r>
    </w:p>
    <w:tbl>
      <w:tblPr>
        <w:tblStyle w:val="TableGrid"/>
        <w:tblW w:type="auto" w:w="0"/>
        <w:jc w:val="center"/>
        <w:tblLook w:firstColumn="1" w:firstRow="1" w:lastColumn="0" w:lastRow="0" w:noHBand="0" w:noVBand="1" w:val="04A0"/>
      </w:tblPr>
      <w:tblGrid>
        <w:gridCol w:w="5131"/>
        <w:gridCol w:w="5131"/>
      </w:tblGrid>
      <w:tr>
        <w:tc>
          <w:tcPr>
            <w:tcW w:type="dxa" w:w="513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항목</w:t>
            </w:r>
          </w:p>
        </w:tc>
        <w:tc>
          <w:tcPr>
            <w:tcW w:type="dxa" w:w="513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기록 내용</w:t>
            </w:r>
          </w:p>
        </w:tc>
      </w:tr>
      <w:tr>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Context</w:t>
            </w:r>
          </w:p>
        </w:tc>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어떤 문제와 제약 조건 때문에 의사결정이 필요한가</w:t>
            </w:r>
          </w:p>
        </w:tc>
      </w:tr>
      <w:tr>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Decision</w:t>
            </w:r>
          </w:p>
        </w:tc>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선택한 아키텍처 대안과 최종 결정</w:t>
            </w:r>
          </w:p>
        </w:tc>
      </w:tr>
      <w:tr>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Alternatives</w:t>
            </w:r>
          </w:p>
        </w:tc>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검토했으나 선택하지 않은 대안과 제외 사유</w:t>
            </w:r>
          </w:p>
        </w:tc>
      </w:tr>
      <w:tr>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Consequences</w:t>
            </w:r>
          </w:p>
        </w:tc>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장점, 단점, 운영 영향, 보안 영향, 비용 영향</w:t>
            </w:r>
          </w:p>
        </w:tc>
      </w:tr>
      <w:tr>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Traceability</w:t>
            </w:r>
          </w:p>
        </w:tc>
        <w:tc>
          <w:tcPr>
            <w:tcW w:type="dxa" w:w="513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관련 ServiceId, 모듈, 설정, OM 기준정보, 테스트 케이스</w:t>
            </w:r>
          </w:p>
        </w:tc>
      </w:tr>
      <w:tr>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Review Date</w:t>
            </w:r>
          </w:p>
        </w:tc>
        <w:tc>
          <w:tcPr>
            <w:tcW w:type="dxa" w:w="513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재검토 시점과 변경 조건</w:t>
            </w:r>
          </w:p>
        </w:tc>
      </w:tr>
    </w:tbl>
    <w:p/>
    <w:tbl>
      <w:tblPr>
        <w:tblW w:type="auto" w:w="0"/>
        <w:jc w:val="center"/>
        <w:tblLook w:firstColumn="1" w:firstRow="1" w:lastColumn="0" w:lastRow="0" w:noHBand="0" w:noVBand="1" w:val="04A0"/>
      </w:tblPr>
      <w:tblGrid>
        <w:gridCol w:w="10262"/>
      </w:tblGrid>
      <w:tr>
        <w:tc>
          <w:tcPr>
            <w:tcW w:type="dxa" w:w="10262"/>
            <w:shd w:fill="F2F2F2"/>
            <w:tcBorders>
              <w:top w:sz="4" w:val="single" w:color="BFBFBF"/>
              <w:left w:sz="4" w:val="single" w:color="BFBFBF"/>
              <w:bottom w:sz="4" w:val="single" w:color="BFBFBF"/>
              <w:right w:sz="4" w:val="single" w:color="BFBFBF"/>
            </w:tcBorders>
          </w:tcPr>
          <w:p>
            <w:pPr>
              <w:spacing w:before="40" w:after="40"/>
            </w:pPr>
            <w:r>
              <w:rPr>
                <w:rFonts w:ascii="Noto Sans Mono CJK KR" w:hAnsi="Noto Sans Mono CJK KR" w:eastAsia="Noto Sans Mono CJK KR"/>
                <w:sz w:val="15"/>
              </w:rPr>
              <w:t>ADR Example Topics</w:t>
            </w:r>
            <w:r>
              <w:br/>
            </w:r>
            <w:r>
              <w:rPr>
                <w:rFonts w:ascii="Noto Sans Mono CJK KR" w:hAnsi="Noto Sans Mono CJK KR" w:eastAsia="Noto Sans Mono CJK KR"/>
                <w:sz w:val="15"/>
              </w:rPr>
            </w:r>
            <w:r>
              <w:br/>
            </w:r>
            <w:r>
              <w:rPr>
                <w:rFonts w:ascii="Noto Sans Mono CJK KR" w:hAnsi="Noto Sans Mono CJK KR" w:eastAsia="Noto Sans Mono CJK KR"/>
                <w:sz w:val="15"/>
              </w:rPr>
              <w:t>- Why single Online Endpoint instead of many REST controllers?</w:t>
            </w:r>
            <w:r>
              <w:br/>
            </w:r>
            <w:r>
              <w:rPr>
                <w:rFonts w:ascii="Noto Sans Mono CJK KR" w:hAnsi="Noto Sans Mono CJK KR" w:eastAsia="Noto Sans Mono CJK KR"/>
                <w:sz w:val="15"/>
              </w:rPr>
              <w:t>- Why ServiceId Dispatcher is the core transaction contract?</w:t>
            </w:r>
            <w:r>
              <w:br/>
            </w:r>
            <w:r>
              <w:rPr>
                <w:rFonts w:ascii="Noto Sans Mono CJK KR" w:hAnsi="Noto Sans Mono CJK KR" w:eastAsia="Noto Sans Mono CJK KR"/>
                <w:sz w:val="15"/>
              </w:rPr>
              <w:t>- Why Gateway validates JWT and TCF performs defensive validation?</w:t>
            </w:r>
            <w:r>
              <w:br/>
            </w:r>
            <w:r>
              <w:rPr>
                <w:rFonts w:ascii="Noto Sans Mono CJK KR" w:hAnsi="Noto Sans Mono CJK KR" w:eastAsia="Noto Sans Mono CJK KR"/>
                <w:sz w:val="15"/>
              </w:rPr>
              <w:t>- Why OM manages transaction control and timeout policies?</w:t>
            </w:r>
            <w:r>
              <w:br/>
            </w:r>
            <w:r>
              <w:rPr>
                <w:rFonts w:ascii="Noto Sans Mono CJK KR" w:hAnsi="Noto Sans Mono CJK KR" w:eastAsia="Noto Sans Mono CJK KR"/>
                <w:sz w:val="15"/>
              </w:rPr>
              <w:t>- Why Facade / Service / Rule / DAO boundaries are mandatory?</w:t>
            </w:r>
            <w:r>
              <w:br/>
            </w:r>
            <w:r>
              <w:rPr>
                <w:rFonts w:ascii="Noto Sans Mono CJK KR" w:hAnsi="Noto Sans Mono CJK KR" w:eastAsia="Noto Sans Mono CJK KR"/>
                <w:sz w:val="15"/>
              </w:rPr>
              <w:t>- Why DB Query Timeout must be shorter than Service Timeout?</w:t>
            </w:r>
            <w:r>
              <w:br/>
            </w:r>
          </w:p>
        </w:tc>
      </w:tr>
    </w:tbl>
    <w:p>
      <w:pPr>
        <w:pStyle w:val="Heading2"/>
      </w:pPr>
      <w:r>
        <w:rPr>
          <w:rFonts w:ascii="Noto Sans CJK KR" w:hAnsi="Noto Sans CJK KR" w:eastAsia="Noto Sans CJK KR"/>
          <w:b/>
        </w:rPr>
        <w:t>2.28 운영 시나리오별 처리 기준</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시나리오</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표준 처리</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확인 로그/기준정보</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신규 거래 오픈</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ServiceId 설계 → Handler 구현 → OM Catalog/거래통제/Timeout 등록 → 테스트 → 배포</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OM_SERVICE_CATALOG, TCF_TRANSACTION_CONTROL, TCF_TX_LOG</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거래 긴급 차단</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OM 거래통제 BLOCK 등록 → 캐시 무효화 → 차단 로그 확인</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거래통제 이력, TCF_TX_LOG 오류코드</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Access Token 만료</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Gateway에서 401 응답 → Refresh 또는 재로그인</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Gateway 인증 실패 로그, jti, userId</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권한 오류</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STF 또는 업무 Rule에서 403/업무 오류 처리</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기능권한, 감사로그, ServiceId</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DB 지연</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DB Query Timeout → Business/System 오류 매핑 → Thread/Pool 보호</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SQL ID, Query Time, Hikari Pool 사용률</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외부 연동 장애</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EAI Timeout/Retry/Circuit Breaker → Fallback 또는 실패 응답</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외부 호출 로그, 거래로그, Circuit 상태</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배포 장애</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Rollback 절차 수행 → Smoke Test → 기준정보 정합성 확인</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배포 이력, 버전, OM 정책 버전</w:t>
            </w:r>
          </w:p>
        </w:tc>
      </w:tr>
    </w:tbl>
    <w:p/>
    <w:p>
      <w:pPr>
        <w:pStyle w:val="Heading2"/>
      </w:pPr>
      <w:r>
        <w:rPr>
          <w:rFonts w:ascii="Noto Sans CJK KR" w:hAnsi="Noto Sans CJK KR" w:eastAsia="Noto Sans CJK KR"/>
          <w:b/>
        </w:rPr>
        <w:t>2.29 RACI 책임 경계</w:t>
      </w:r>
    </w:p>
    <w:tbl>
      <w:tblPr>
        <w:tblStyle w:val="TableGrid"/>
        <w:tblW w:type="auto" w:w="0"/>
        <w:jc w:val="center"/>
        <w:tblLook w:firstColumn="1" w:firstRow="1" w:lastColumn="0" w:lastRow="0" w:noHBand="0" w:noVBand="1" w:val="04A0"/>
      </w:tblPr>
      <w:tblGrid>
        <w:gridCol w:w="1466"/>
        <w:gridCol w:w="1466"/>
        <w:gridCol w:w="1466"/>
        <w:gridCol w:w="1466"/>
        <w:gridCol w:w="1466"/>
        <w:gridCol w:w="1466"/>
        <w:gridCol w:w="1466"/>
      </w:tblGrid>
      <w:tr>
        <w:tc>
          <w:tcPr>
            <w:tcW w:type="dxa" w:w="1466"/>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활동</w:t>
            </w:r>
          </w:p>
        </w:tc>
        <w:tc>
          <w:tcPr>
            <w:tcW w:type="dxa" w:w="1466"/>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업무개발</w:t>
            </w:r>
          </w:p>
        </w:tc>
        <w:tc>
          <w:tcPr>
            <w:tcW w:type="dxa" w:w="1466"/>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플랫폼</w:t>
            </w:r>
          </w:p>
        </w:tc>
        <w:tc>
          <w:tcPr>
            <w:tcW w:type="dxa" w:w="1466"/>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OM/운영</w:t>
            </w:r>
          </w:p>
        </w:tc>
        <w:tc>
          <w:tcPr>
            <w:tcW w:type="dxa" w:w="1466"/>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보안</w:t>
            </w:r>
          </w:p>
        </w:tc>
        <w:tc>
          <w:tcPr>
            <w:tcW w:type="dxa" w:w="1466"/>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DBA</w:t>
            </w:r>
          </w:p>
        </w:tc>
        <w:tc>
          <w:tcPr>
            <w:tcW w:type="dxa" w:w="1466"/>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DevOps</w:t>
            </w:r>
          </w:p>
        </w:tc>
      </w:tr>
      <w:tr>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ServiceId 설계</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R</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A</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C</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C</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I</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I</w:t>
            </w:r>
          </w:p>
        </w:tc>
      </w:tr>
      <w:tr>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Handler~Rule 구현</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R/A</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C</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I</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I</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I</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I</w:t>
            </w:r>
          </w:p>
        </w:tc>
      </w:tr>
      <w:tr>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TCF 공통 파이프라인 변경</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C</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R/A</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C</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C</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I</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C</w:t>
            </w:r>
          </w:p>
        </w:tc>
      </w:tr>
      <w:tr>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JWT/Gateway 정책</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I</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R</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C</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A</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I</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C</w:t>
            </w:r>
          </w:p>
        </w:tc>
      </w:tr>
      <w:tr>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OM 기준정보 등록</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C</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C</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R/A</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C</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I</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I</w:t>
            </w:r>
          </w:p>
        </w:tc>
      </w:tr>
      <w:tr>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DB 객체/Index 설계</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R</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C</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I</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I</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A</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I</w:t>
            </w:r>
          </w:p>
        </w:tc>
      </w:tr>
      <w:tr>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CI/CD 배포</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C</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C</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I</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I</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I</w:t>
            </w:r>
          </w:p>
        </w:tc>
        <w:tc>
          <w:tcPr>
            <w:tcW w:type="dxa" w:w="1466"/>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R/A</w:t>
            </w:r>
          </w:p>
        </w:tc>
      </w:tr>
      <w:tr>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운영 장애 대응</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C</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R</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A</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C</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C</w:t>
            </w:r>
          </w:p>
        </w:tc>
        <w:tc>
          <w:tcPr>
            <w:tcW w:type="dxa" w:w="1466"/>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C</w:t>
            </w:r>
          </w:p>
        </w:tc>
      </w:tr>
    </w:tbl>
    <w:p/>
    <w:p>
      <w:pPr>
        <w:pStyle w:val="Heading2"/>
      </w:pPr>
      <w:r>
        <w:rPr>
          <w:rFonts w:ascii="Noto Sans CJK KR" w:hAnsi="Noto Sans CJK KR" w:eastAsia="Noto Sans CJK KR"/>
          <w:b/>
        </w:rPr>
        <w:t>2.30 마스터 리뷰 체크리스트</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영역</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체크 항목</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확인</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아키텍처</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Gateway → 업무 WAR → TCF → Handler 흐름이 표준화되어 있는가?</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식별체계</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화면번호, ServiceId, 거래코드, Handler, SQL ID가 추적 가능한가?</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계층구조</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Handler/Facade/Service/Rule/DAO/Mapper 책임 위반이 없는가?</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보안</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JWT 검증, Header 보정, Gateway 우회 차단, STF 방어 검증이 적용되어 있는가?</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권한</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메뉴/기능/데이터 권한과 ServiceId 권한이 정합적인가?</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운영통제</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OM Catalog, 거래통제, Timeout, 오류코드가 등록되어 있는가?</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데이터</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DataSource, Mapper, SQL Timeout, Index, 페이징 기준이 명확한가?</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로그</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GUID/TRACE_ID/SERVICE_ID/USER_ID 기준 End-to-End 추적이 가능한가?</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배포</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WAR, Profile, 환경설정, DB, OM 기준정보 Rollback 절차가 있는가?</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테스트</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단위, 통합, TCF 거래, 보안, 성능, 장애 테스트가 품질 게이트에 포함되어 있는가?</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w:t>
            </w:r>
          </w:p>
        </w:tc>
      </w:tr>
    </w:tbl>
    <w:p/>
    <w:p>
      <w:r>
        <w:rPr>
          <w:rFonts w:ascii="Noto Sans CJK KR" w:hAnsi="Noto Sans CJK KR" w:eastAsia="Noto Sans CJK KR"/>
        </w:rPr>
        <w:br w:type="page"/>
      </w:r>
    </w:p>
    <w:p>
      <w:pPr>
        <w:pStyle w:val="Heading1"/>
      </w:pPr>
      <w:r>
        <w:rPr>
          <w:rFonts w:ascii="Noto Sans CJK KR" w:hAnsi="Noto Sans CJK KR" w:eastAsia="Noto Sans CJK KR"/>
          <w:b/>
        </w:rPr>
        <w:t>3. 시사점</w:t>
      </w:r>
    </w:p>
    <w:p>
      <w:pPr>
        <w:pStyle w:val="Heading2"/>
      </w:pPr>
      <w:r>
        <w:rPr>
          <w:rFonts w:ascii="Noto Sans CJK KR" w:hAnsi="Noto Sans CJK KR" w:eastAsia="Noto Sans CJK KR"/>
          <w:b/>
        </w:rPr>
        <w:t>3.1 TCF는 프레임워크가 아니라 운영 가능한 거래 아키텍처다</w:t>
      </w:r>
    </w:p>
    <w:p>
      <w:r>
        <w:rPr>
          <w:rFonts w:ascii="Noto Sans CJK KR" w:hAnsi="Noto Sans CJK KR" w:eastAsia="Noto Sans CJK KR"/>
        </w:rPr>
        <w:t>TCF를 공통 모듈이나 개발 편의 라이브러리로만 이해하면 가장 중요한 가치가 사라진다. TCF의 가치는 모든 거래가 동일한 입구, 동일한 식별체계, 동일한 전처리·후처리, 동일한 로그·감사 체계를 통과하도록 만드는 데 있다. 이 표준 흐름이 유지될 때 운영자는 거래를 차단하고, Timeout을 조정하고, 장애를 추적하고, 권한 오남용을 감사할 수 있다.</w:t>
      </w:r>
    </w:p>
    <w:p>
      <w:pPr>
        <w:pStyle w:val="Heading2"/>
      </w:pPr>
      <w:r>
        <w:rPr>
          <w:rFonts w:ascii="Noto Sans CJK KR" w:hAnsi="Noto Sans CJK KR" w:eastAsia="Noto Sans CJK KR"/>
          <w:b/>
        </w:rPr>
        <w:t>3.2 ServiceId는 기술 ID가 아니라 업무·운영 계약이다</w:t>
      </w:r>
    </w:p>
    <w:p>
      <w:r>
        <w:rPr>
          <w:rFonts w:ascii="Noto Sans CJK KR" w:hAnsi="Noto Sans CJK KR" w:eastAsia="Noto Sans CJK KR"/>
        </w:rPr>
        <w:t>ServiceId가 흔들리면 Handler 매핑만 흔들리는 것이 아니라 화면, 권한, 거래통제, Timeout, 로그, 테스트, 운영 대시보드가 함께 흔들린다. 따라서 ServiceId는 개발자가 임의로 붙이는 이름이 아니라 업무와 플랫폼이 합의한 계약 키로 관리되어야 한다.</w:t>
      </w:r>
    </w:p>
    <w:p>
      <w:pPr>
        <w:pStyle w:val="Heading2"/>
      </w:pPr>
      <w:r>
        <w:rPr>
          <w:rFonts w:ascii="Noto Sans CJK KR" w:hAnsi="Noto Sans CJK KR" w:eastAsia="Noto Sans CJK KR"/>
          <w:b/>
        </w:rPr>
        <w:t>3.3 OM은 사후 관리 화면이 아니라 Control Plane이다</w:t>
      </w:r>
    </w:p>
    <w:p>
      <w:r>
        <w:rPr>
          <w:rFonts w:ascii="Noto Sans CJK KR" w:hAnsi="Noto Sans CJK KR" w:eastAsia="Noto Sans CJK KR"/>
        </w:rPr>
        <w:t>OM은 운영자가 보는 화면의 집합이 아니라 런타임 정책을 공급하는 Control Plane이다. Service Catalog, 거래통제, Timeout, 오류코드, 공통코드, 권한은 모두 거래 실행에 직접 영향을 준다. 따라서 OM 변경은 소스 변경만큼 엄격하게 승인, 이력, Rollback, 감사 기준을 가져야 한다.</w:t>
      </w:r>
    </w:p>
    <w:p>
      <w:pPr>
        <w:pStyle w:val="Heading2"/>
      </w:pPr>
      <w:r>
        <w:rPr>
          <w:rFonts w:ascii="Noto Sans CJK KR" w:hAnsi="Noto Sans CJK KR" w:eastAsia="Noto Sans CJK KR"/>
          <w:b/>
        </w:rPr>
        <w:t>3.4 Gateway 우회 가능성은 인증 설계의 가장 큰 위험이다</w:t>
      </w:r>
    </w:p>
    <w:p>
      <w:r>
        <w:rPr>
          <w:rFonts w:ascii="Noto Sans CJK KR" w:hAnsi="Noto Sans CJK KR" w:eastAsia="Noto Sans CJK KR"/>
        </w:rPr>
        <w:t>JWT를 Gateway에서 검증하도록 설계했더라도 업무 WAR가 직접 노출되어 있으면 인증 경계는 무너진다. 운영 표준은 클라이언트가 Gateway만 접근하고, Gateway만 업무 WAR에 접근할 수 있게 하는 것이다. 네트워크 차단이 완전하지 않다면 업무 WAR 공통 인증 Filter와 STF 방어 검증을 반드시 병행해야 한다.</w:t>
      </w:r>
    </w:p>
    <w:p>
      <w:pPr>
        <w:pStyle w:val="Heading2"/>
      </w:pPr>
      <w:r>
        <w:rPr>
          <w:rFonts w:ascii="Noto Sans CJK KR" w:hAnsi="Noto Sans CJK KR" w:eastAsia="Noto Sans CJK KR"/>
          <w:b/>
        </w:rPr>
        <w:t>3.5 명명규칙은 문서 미관이 아니라 운영 추적성이다</w:t>
      </w:r>
    </w:p>
    <w:p>
      <w:r>
        <w:rPr>
          <w:rFonts w:ascii="Noto Sans CJK KR" w:hAnsi="Noto Sans CJK KR" w:eastAsia="Noto Sans CJK KR"/>
        </w:rPr>
        <w:t>업무코드, Context, Package, ServiceId, 거래코드, DB 객체, SQL ID, 오류코드, 로그 항목이 서로 연결되어야 장애 분석과 운영 인수인계가 가능하다. 명명규칙은 개발 취향을 통제하기 위한 규칙이 아니라 운영자가 같은 이름을 보고 같은 의미를 이해하게 만드는 공통 언어다.</w:t>
      </w:r>
    </w:p>
    <w:p>
      <w:pPr>
        <w:pStyle w:val="Heading2"/>
      </w:pPr>
      <w:r>
        <w:rPr>
          <w:rFonts w:ascii="Noto Sans CJK KR" w:hAnsi="Noto Sans CJK KR" w:eastAsia="Noto Sans CJK KR"/>
          <w:b/>
        </w:rPr>
        <w:t>3.6 품질 속성은 코드 리뷰보다 앞서 설계되어야 한다</w:t>
      </w:r>
    </w:p>
    <w:p>
      <w:r>
        <w:rPr>
          <w:rFonts w:ascii="Noto Sans CJK KR" w:hAnsi="Noto Sans CJK KR" w:eastAsia="Noto Sans CJK KR"/>
        </w:rPr>
        <w:t>성능, 보안, 관측성, 가용성, 운영통제성은 개발 완료 후 점검하는 항목이 아니라 ServiceId 설계 단계에서 이미 결정되어야 한다. Timeout, 권한, 로그, 감사, Retry, Circuit Breaker, SQL Index, DB Pool은 기능 구현 이후에 붙이는 부가 기능이 아니라 거래 설계의 일부다.</w:t>
      </w:r>
    </w:p>
    <w:p>
      <w:r>
        <w:rPr>
          <w:rFonts w:ascii="Noto Sans CJK KR" w:hAnsi="Noto Sans CJK KR" w:eastAsia="Noto Sans CJK KR"/>
        </w:rPr>
        <w:br w:type="page"/>
      </w:r>
    </w:p>
    <w:p>
      <w:pPr>
        <w:pStyle w:val="Heading1"/>
      </w:pPr>
      <w:r>
        <w:rPr>
          <w:rFonts w:ascii="Noto Sans CJK KR" w:hAnsi="Noto Sans CJK KR" w:eastAsia="Noto Sans CJK KR"/>
          <w:b/>
        </w:rPr>
        <w:t>4. 마무리말</w:t>
      </w:r>
    </w:p>
    <w:p>
      <w:r>
        <w:rPr>
          <w:rFonts w:ascii="Noto Sans CJK KR" w:hAnsi="Noto Sans CJK KR" w:eastAsia="Noto Sans CJK KR"/>
        </w:rPr>
        <w:t>NSIGHT TCF Framework의 최종 설계 기준은 다음 한 문장으로 정리할 수 있다.</w:t>
      </w:r>
    </w:p>
    <w:tbl>
      <w:tblPr>
        <w:tblW w:type="auto" w:w="0"/>
        <w:jc w:val="center"/>
        <w:tblLook w:firstColumn="1" w:firstRow="1" w:lastColumn="0" w:lastRow="0" w:noHBand="0" w:noVBand="1" w:val="04A0"/>
      </w:tblPr>
      <w:tblGrid>
        <w:gridCol w:w="10262"/>
      </w:tblGrid>
      <w:tr>
        <w:tc>
          <w:tcPr>
            <w:tcW w:type="dxa" w:w="10262"/>
            <w:shd w:fill="F2F2F2"/>
            <w:tcBorders>
              <w:top w:sz="4" w:val="single" w:color="BFBFBF"/>
              <w:left w:sz="4" w:val="single" w:color="BFBFBF"/>
              <w:bottom w:sz="4" w:val="single" w:color="BFBFBF"/>
              <w:right w:sz="4" w:val="single" w:color="BFBFBF"/>
            </w:tcBorders>
          </w:tcPr>
          <w:p>
            <w:pPr>
              <w:spacing w:before="40" w:after="40"/>
            </w:pPr>
            <w:r>
              <w:rPr>
                <w:rFonts w:ascii="Noto Sans Mono CJK KR" w:hAnsi="Noto Sans Mono CJK KR" w:eastAsia="Noto Sans Mono CJK KR"/>
                <w:sz w:val="15"/>
              </w:rPr>
              <w:t>NSIGHT TCF는</w:t>
            </w:r>
            <w:r>
              <w:br/>
            </w:r>
            <w:r>
              <w:rPr>
                <w:rFonts w:ascii="Noto Sans Mono CJK KR" w:hAnsi="Noto Sans Mono CJK KR" w:eastAsia="Noto Sans Mono CJK KR"/>
                <w:sz w:val="15"/>
              </w:rPr>
              <w:t>ServiceId로 거래를 식별하고,</w:t>
            </w:r>
            <w:r>
              <w:br/>
            </w:r>
            <w:r>
              <w:rPr>
                <w:rFonts w:ascii="Noto Sans Mono CJK KR" w:hAnsi="Noto Sans Mono CJK KR" w:eastAsia="Noto Sans Mono CJK KR"/>
                <w:sz w:val="15"/>
              </w:rPr>
              <w:t>Gateway와 TCF로 진입을 통제하며,</w:t>
            </w:r>
            <w:r>
              <w:br/>
            </w:r>
            <w:r>
              <w:rPr>
                <w:rFonts w:ascii="Noto Sans Mono CJK KR" w:hAnsi="Noto Sans Mono CJK KR" w:eastAsia="Noto Sans Mono CJK KR"/>
                <w:sz w:val="15"/>
              </w:rPr>
              <w:t>STF/ETF로 공통 품질을 보장하고,</w:t>
            </w:r>
            <w:r>
              <w:br/>
            </w:r>
            <w:r>
              <w:rPr>
                <w:rFonts w:ascii="Noto Sans Mono CJK KR" w:hAnsi="Noto Sans Mono CJK KR" w:eastAsia="Noto Sans Mono CJK KR"/>
                <w:sz w:val="15"/>
              </w:rPr>
              <w:t>6계층으로 업무 책임을 분리하며,</w:t>
            </w:r>
            <w:r>
              <w:br/>
            </w:r>
            <w:r>
              <w:rPr>
                <w:rFonts w:ascii="Noto Sans Mono CJK KR" w:hAnsi="Noto Sans Mono CJK KR" w:eastAsia="Noto Sans Mono CJK KR"/>
                <w:sz w:val="15"/>
              </w:rPr>
              <w:t>OM으로 운영 정책을 관리하고,</w:t>
            </w:r>
            <w:r>
              <w:br/>
            </w:r>
            <w:r>
              <w:rPr>
                <w:rFonts w:ascii="Noto Sans Mono CJK KR" w:hAnsi="Noto Sans Mono CJK KR" w:eastAsia="Noto Sans Mono CJK KR"/>
                <w:sz w:val="15"/>
              </w:rPr>
              <w:t>GUID/TRACE_ID로 장애와 감사를 추적하는</w:t>
            </w:r>
            <w:r>
              <w:br/>
            </w:r>
            <w:r>
              <w:rPr>
                <w:rFonts w:ascii="Noto Sans Mono CJK KR" w:hAnsi="Noto Sans Mono CJK KR" w:eastAsia="Noto Sans Mono CJK KR"/>
                <w:sz w:val="15"/>
              </w:rPr>
              <w:t>운영형 온라인 거래 아키텍처다.</w:t>
            </w:r>
            <w:r>
              <w:br/>
            </w:r>
          </w:p>
        </w:tc>
      </w:tr>
    </w:tbl>
    <w:p>
      <w:r>
        <w:rPr>
          <w:rFonts w:ascii="Noto Sans CJK KR" w:hAnsi="Noto Sans CJK KR" w:eastAsia="Noto Sans CJK KR"/>
        </w:rPr>
        <w:t>따라서 본 문서에서 제시한 마스터급 검토 관점은 개발 가이드를 대체하기 위한 것이 아니라, 개발 가이드의 세부 기준이 왜 필요한지를 아키텍처적으로 해석하기 위한 기준이다. 개발자는 Handler와 DTO, Mapper를 정확히 작성해야 하고, 플랫폼 팀은 TCF/STF/ETF와 Gateway, JWT, Cache, OM 정책 반영 흐름을 안정화해야 하며, 운영자는 Service Catalog, 거래통제, Timeout, 오류코드, 권한, 로그를 기준정보로 관리해야 한다.</w:t>
      </w:r>
    </w:p>
    <w:p>
      <w:r>
        <w:rPr>
          <w:rFonts w:ascii="Noto Sans CJK KR" w:hAnsi="Noto Sans CJK KR" w:eastAsia="Noto Sans CJK KR"/>
        </w:rPr>
        <w:t>후속 보완의 핵심은 세 가지다. 첫째, Gateway 우회가 불가능한 네트워크·보안 구조를 확정한다. 둘째, OM 정책 변경과 런타임 캐시 반영의 정합성을 검증한다. 셋째, GUID 하나로 Gateway, TCF, 업무 로직, SQL, 감사로그까지 추적되는 End-to-End 관측성을 완성한다.</w:t>
      </w:r>
    </w:p>
    <w:tbl>
      <w:tblPr>
        <w:tblW w:type="auto" w:w="0"/>
        <w:tblLook w:firstColumn="1" w:firstRow="1" w:lastColumn="0" w:lastRow="0" w:noHBand="0" w:noVBand="1" w:val="04A0"/>
      </w:tblPr>
      <w:tblGrid>
        <w:gridCol w:w="10262"/>
      </w:tblGrid>
      <w:tr>
        <w:tc>
          <w:tcPr>
            <w:tcW w:type="dxa" w:w="10262"/>
            <w:shd w:fill="E2F0D9"/>
            <w:tcBorders>
              <w:top w:sz="8" w:val="single" w:color="5B9BD5"/>
              <w:left w:sz="8" w:val="single" w:color="5B9BD5"/>
              <w:bottom w:sz="8" w:val="single" w:color="5B9BD5"/>
              <w:right w:sz="8" w:val="single" w:color="5B9BD5"/>
            </w:tcBorders>
          </w:tcPr>
          <w:p>
            <w:r>
              <w:rPr>
                <w:rFonts w:ascii="Noto Sans CJK KR" w:hAnsi="Noto Sans CJK KR" w:eastAsia="Noto Sans CJK KR"/>
                <w:b/>
                <w:color w:val="1F4E79"/>
                <w:sz w:val="19"/>
              </w:rPr>
              <w:t>최종 권고</w:t>
              <w:br/>
            </w:r>
            <w:r>
              <w:rPr>
                <w:rFonts w:ascii="Noto Sans CJK KR" w:hAnsi="Noto Sans CJK KR" w:eastAsia="Noto Sans CJK KR"/>
                <w:sz w:val="17"/>
              </w:rPr>
              <w:t>본 문서는 아키텍트 검토 기준서로 사용하고, 원본 완전 개발 가이드는 개발자 실무 매뉴얼로 유지하는 것이 좋다. 두 문서는 같은 ServiceId, 같은 업무코드, 같은 OM 기준정보, 같은 로그 키를 공유해야 하며, 변경 시 함께 갱신되어야 한다.</w:t>
            </w:r>
          </w:p>
        </w:tc>
      </w:tr>
    </w:tbl>
    <w:p/>
    <w:p>
      <w:pPr>
        <w:pStyle w:val="Heading2"/>
      </w:pPr>
      <w:r>
        <w:rPr>
          <w:rFonts w:ascii="Noto Sans CJK KR" w:hAnsi="Noto Sans CJK KR" w:eastAsia="Noto Sans CJK KR"/>
          <w:b/>
        </w:rPr>
        <w:t>4.1 후속 관리 기준</w:t>
      </w:r>
    </w:p>
    <w:tbl>
      <w:tblPr>
        <w:tblStyle w:val="TableGrid"/>
        <w:tblW w:type="auto" w:w="0"/>
        <w:jc w:val="center"/>
        <w:tblLook w:firstColumn="1" w:firstRow="1" w:lastColumn="0" w:lastRow="0" w:noHBand="0" w:noVBand="1" w:val="04A0"/>
      </w:tblPr>
      <w:tblGrid>
        <w:gridCol w:w="3421"/>
        <w:gridCol w:w="3421"/>
        <w:gridCol w:w="3421"/>
      </w:tblGrid>
      <w:tr>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관리 항목</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권고 주기</w:t>
            </w:r>
          </w:p>
        </w:tc>
        <w:tc>
          <w:tcPr>
            <w:tcW w:type="dxa" w:w="3421"/>
            <w:vAlign w:val="top"/>
            <w:tcBorders>
              <w:top w:sz="4" w:val="single" w:color="D9E2F3"/>
              <w:left w:sz="4" w:val="single" w:color="D9E2F3"/>
              <w:bottom w:sz="4" w:val="single" w:color="D9E2F3"/>
              <w:right w:sz="4" w:val="single" w:color="D9E2F3"/>
            </w:tcBorders>
            <w:shd w:fill="1F4E79"/>
          </w:tcPr>
          <w:p>
            <w:pPr>
              <w:spacing w:after="0" w:line="252" w:lineRule="auto"/>
            </w:pPr>
            <w:r>
              <w:rPr>
                <w:rFonts w:ascii="Noto Sans CJK KR" w:hAnsi="Noto Sans CJK KR" w:eastAsia="Noto Sans CJK KR"/>
                <w:b/>
                <w:color w:val="FFFFFF"/>
                <w:sz w:val="17"/>
              </w:rPr>
              <w:t>관리 방식</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ServiceId Catalog 정합성</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릴리즈마다</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소스 Handler와 OM Catalog 자동 대조</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Gateway Route 정합성</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릴리즈마다</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업무코드/Context/WAR/Port 매핑표 검증</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JWT/SSO 정책</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보안 정책 변경 시</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issuer, audience, JWKS, DenyList, Refresh Rotation 점검</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Timeout 정책</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성능 테스트 및 장애 후</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Service Timeout, DB Timeout, Gateway Timeout 예산 재검토</w:t>
            </w:r>
          </w:p>
        </w:tc>
      </w:tr>
      <w:tr>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로그/감사 항목</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운영 전환 전 및 감사 요구 시</w:t>
            </w:r>
          </w:p>
        </w:tc>
        <w:tc>
          <w:tcPr>
            <w:tcW w:type="dxa" w:w="3421"/>
            <w:vAlign w:val="top"/>
            <w:tcBorders>
              <w:top w:sz="4" w:val="single" w:color="D9E2F3"/>
              <w:left w:sz="4" w:val="single" w:color="D9E2F3"/>
              <w:bottom w:sz="4" w:val="single" w:color="D9E2F3"/>
              <w:right w:sz="4" w:val="single" w:color="D9E2F3"/>
            </w:tcBorders>
          </w:tcPr>
          <w:p>
            <w:pPr>
              <w:spacing w:after="0" w:line="252" w:lineRule="auto"/>
            </w:pPr>
            <w:r>
              <w:rPr>
                <w:rFonts w:ascii="Noto Sans CJK KR" w:hAnsi="Noto Sans CJK KR" w:eastAsia="Noto Sans CJK KR"/>
                <w:sz w:val="16"/>
              </w:rPr>
              <w:t>민감정보 마스킹, 필수 키 누락 여부 점검</w:t>
            </w:r>
          </w:p>
        </w:tc>
      </w:tr>
      <w:tr>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Gap/Roadmap</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월간 또는 릴리즈 게이트</w:t>
            </w:r>
          </w:p>
        </w:tc>
        <w:tc>
          <w:tcPr>
            <w:tcW w:type="dxa" w:w="3421"/>
            <w:vAlign w:val="top"/>
            <w:tcBorders>
              <w:top w:sz="4" w:val="single" w:color="D9E2F3"/>
              <w:left w:sz="4" w:val="single" w:color="D9E2F3"/>
              <w:bottom w:sz="4" w:val="single" w:color="D9E2F3"/>
              <w:right w:sz="4" w:val="single" w:color="D9E2F3"/>
            </w:tcBorders>
            <w:shd w:fill="F8FBFF"/>
          </w:tcPr>
          <w:p>
            <w:pPr>
              <w:spacing w:after="0" w:line="252" w:lineRule="auto"/>
            </w:pPr>
            <w:r>
              <w:rPr>
                <w:rFonts w:ascii="Noto Sans CJK KR" w:hAnsi="Noto Sans CJK KR" w:eastAsia="Noto Sans CJK KR"/>
                <w:sz w:val="16"/>
              </w:rPr>
              <w:t>P1/P2/P3 우선순위 재산정</w:t>
            </w:r>
          </w:p>
        </w:tc>
      </w:tr>
    </w:tbl>
    <w:p/>
    <w:p>
      <w:pPr>
        <w:pStyle w:val="Heading2"/>
      </w:pPr>
      <w:r>
        <w:rPr>
          <w:rFonts w:ascii="Noto Sans CJK KR" w:hAnsi="Noto Sans CJK KR" w:eastAsia="Noto Sans CJK KR"/>
          <w:b/>
        </w:rPr>
        <w:t>4.2 최종 아키텍처 검토 문장</w:t>
      </w:r>
    </w:p>
    <w:p>
      <w:r>
        <w:rPr>
          <w:rFonts w:ascii="Noto Sans CJK KR" w:hAnsi="Noto Sans CJK KR" w:eastAsia="Noto Sans CJK KR"/>
        </w:rPr>
        <w:t>아키텍처 검토 회의에서는 다음 문장에 모두 “예”라고 답할 수 있어야 한다.</w:t>
      </w:r>
    </w:p>
    <w:p>
      <w:pPr>
        <w:pStyle w:val="ListBullet"/>
      </w:pPr>
      <w:r>
        <w:rPr>
          <w:rFonts w:ascii="Noto Sans CJK KR" w:hAnsi="Noto Sans CJK KR" w:eastAsia="Noto Sans CJK KR"/>
        </w:rPr>
        <w:t>모든 업무 거래는 ServiceId와 거래코드로 식별된다.</w:t>
      </w:r>
    </w:p>
    <w:p>
      <w:pPr>
        <w:pStyle w:val="ListBullet"/>
      </w:pPr>
      <w:r>
        <w:rPr>
          <w:rFonts w:ascii="Noto Sans CJK KR" w:hAnsi="Noto Sans CJK KR" w:eastAsia="Noto Sans CJK KR"/>
        </w:rPr>
        <w:t>외부 요청은 Gateway를 통과하며 업무 WAR 직접 접근은 차단된다.</w:t>
      </w:r>
    </w:p>
    <w:p>
      <w:pPr>
        <w:pStyle w:val="ListBullet"/>
      </w:pPr>
      <w:r>
        <w:rPr>
          <w:rFonts w:ascii="Noto Sans CJK KR" w:hAnsi="Noto Sans CJK KR" w:eastAsia="Noto Sans CJK KR"/>
        </w:rPr>
        <w:t>Gateway 인증 결과는 표준 Header와 TransactionContext로 변환된다.</w:t>
      </w:r>
    </w:p>
    <w:p>
      <w:pPr>
        <w:pStyle w:val="ListBullet"/>
      </w:pPr>
      <w:r>
        <w:rPr>
          <w:rFonts w:ascii="Noto Sans CJK KR" w:hAnsi="Noto Sans CJK KR" w:eastAsia="Noto Sans CJK KR"/>
        </w:rPr>
        <w:t>STF는 업무 Handler 진입 전에 Header, 권한, 거래통제, Timeout을 방어적으로 검증한다.</w:t>
      </w:r>
    </w:p>
    <w:p>
      <w:pPr>
        <w:pStyle w:val="ListBullet"/>
      </w:pPr>
      <w:r>
        <w:rPr>
          <w:rFonts w:ascii="Noto Sans CJK KR" w:hAnsi="Noto Sans CJK KR" w:eastAsia="Noto Sans CJK KR"/>
        </w:rPr>
        <w:t>Handler부터 Mapper까지 6계층 책임 경계가 유지된다.</w:t>
      </w:r>
    </w:p>
    <w:p>
      <w:pPr>
        <w:pStyle w:val="ListBullet"/>
      </w:pPr>
      <w:r>
        <w:rPr>
          <w:rFonts w:ascii="Noto Sans CJK KR" w:hAnsi="Noto Sans CJK KR" w:eastAsia="Noto Sans CJK KR"/>
        </w:rPr>
        <w:t>OM 기준정보 변경은 승인, 이력, 캐시 무효화, Rollback 기준을 가진다.</w:t>
      </w:r>
    </w:p>
    <w:p>
      <w:pPr>
        <w:pStyle w:val="ListBullet"/>
      </w:pPr>
      <w:r>
        <w:rPr>
          <w:rFonts w:ascii="Noto Sans CJK KR" w:hAnsi="Noto Sans CJK KR" w:eastAsia="Noto Sans CJK KR"/>
        </w:rPr>
        <w:t>장애 발생 시 GUID와 ServiceId로 Gateway 로그, TCF 로그, SQL, 감사로그를 연결할 수 있다.</w:t>
      </w:r>
    </w:p>
    <w:p>
      <w:pPr>
        <w:pStyle w:val="ListBullet"/>
      </w:pPr>
      <w:r>
        <w:rPr>
          <w:rFonts w:ascii="Noto Sans CJK KR" w:hAnsi="Noto Sans CJK KR" w:eastAsia="Noto Sans CJK KR"/>
        </w:rPr>
        <w:t>배포와 Rollback은 소스, 설정, DB, OM 기준정보를 함께 고려한다.</w:t>
      </w:r>
    </w:p>
    <w:sectPr w:rsidR="00FC693F" w:rsidRPr="0006063C" w:rsidSect="00034616">
      <w:headerReference w:type="default" r:id="rId9"/>
      <w:footerReference w:type="default" r:id="rId10"/>
      <w:pgSz w:w="11906" w:h="16838"/>
      <w:pgMar w:top="879" w:right="822" w:bottom="879" w:left="82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sz w:val="17"/>
      </w:rPr>
      <w:t xml:space="preserve">Page </w:t>
      <w:fldChar w:fldCharType="begin"/>
      <w:instrText xml:space="preserve">PAGE</w:instrText>
      <w:fldChar w:fldCharType="end"/>
    </w:r>
    <w:r>
      <w:rPr>
        <w:rFonts w:ascii="Noto Sans CJK KR" w:hAnsi="Noto Sans CJK KR" w:eastAsia="Noto Sans CJK KR"/>
        <w:color w:val="5A5A5A"/>
        <w:sz w:val="17"/>
      </w:rPr>
      <w:t xml:space="preserve"> / NSIGHT TCF Architecture Master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5A5A5A"/>
        <w:sz w:val="17"/>
      </w:rPr>
      <w:t>NSIGHT TCF Framework 아키텍처·기술 마스터 가이드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Noto Sans CJK KR" w:hAnsi="Noto Sans CJK KR"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KR" w:hAnsi="Noto Sans CJK KR" w:eastAsia="Noto Sans CJK KR"/>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KR" w:hAnsi="Noto Sans CJK KR" w:eastAsia="Noto Sans CJK KR"/>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KR" w:hAnsi="Noto Sans CJK KR" w:eastAsia="Noto Sans CJK KR"/>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NSIGHT TCF Framework 아키텍처·기술 마스터 가이드</dc:title>
  <dc:subject>NSIGHT TCF Framework Architecture and Technical Master Guide</dc:subject>
  <dc:creator>OpenAI</dc:creator>
  <cp:keywords/>
  <dc:description>Generated from uploaded NSIGHT TCF complete development guide.</dc:description>
  <cp:lastModifiedBy/>
  <cp:revision>1</cp:revision>
  <dcterms:created xsi:type="dcterms:W3CDTF">2013-12-23T23:15:00Z</dcterms:created>
  <dcterms:modified xsi:type="dcterms:W3CDTF">2013-12-23T23:15:00Z</dcterms:modified>
  <cp:category/>
</cp:coreProperties>
</file>