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6"/>
        <w:tblpPr w:leftFromText="180" w:rightFromText="180" w:vertAnchor="page" w:horzAnchor="margin" w:tblpXSpec="center" w:tblpY="1606"/>
        <w:tblW w:w="9481" w:type="dxa"/>
        <w:tblInd w:w="0" w:type="dxa"/>
        <w:tblBorders>
          <w:top w:val="none" w:color="auto" w:sz="0" w:space="0"/>
          <w:left w:val="none" w:color="auto" w:sz="0" w:space="0"/>
          <w:bottom w:val="single" w:color="FF0000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2"/>
        <w:gridCol w:w="5059"/>
      </w:tblGrid>
      <w:tr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4422" w:type="dxa"/>
          </w:tcPr>
          <w:p>
            <w:pPr>
              <w:spacing w:beforeLines="30"/>
              <w:rPr>
                <w:rFonts w:ascii="黑体" w:eastAsia="黑体" w:cs="Times New Roman"/>
                <w:color w:val="000000"/>
              </w:rPr>
            </w:pPr>
          </w:p>
          <w:p>
            <w:pPr>
              <w:rPr>
                <w:rFonts w:cs="Times New Roman"/>
                <w:color w:val="000000"/>
              </w:rPr>
            </w:pPr>
          </w:p>
        </w:tc>
        <w:tc>
          <w:tcPr>
            <w:tcW w:w="5059" w:type="dxa"/>
          </w:tcPr>
          <w:p>
            <w:pPr>
              <w:jc w:val="right"/>
              <w:rPr>
                <w:rFonts w:cs="Times New Roman"/>
                <w:color w:val="00000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4" w:hRule="atLeast"/>
        </w:trPr>
        <w:tc>
          <w:tcPr>
            <w:tcW w:w="9481" w:type="dxa"/>
            <w:gridSpan w:val="2"/>
          </w:tcPr>
          <w:p>
            <w:pPr>
              <w:jc w:val="center"/>
              <w:rPr>
                <w:rFonts w:ascii="方正小标宋简体" w:eastAsia="方正小标宋简体" w:cs="Times New Roman"/>
                <w:color w:val="FF0000"/>
                <w:kern w:val="0"/>
                <w:sz w:val="84"/>
                <w:szCs w:val="84"/>
              </w:rPr>
            </w:pPr>
            <w:r>
              <w:rPr>
                <w:rFonts w:hint="eastAsia" w:ascii="方正小标宋简体" w:eastAsia="方正小标宋简体" w:cs="方正小标宋简体"/>
                <w:color w:val="FF0000"/>
                <w:w w:val="75"/>
                <w:kern w:val="0"/>
                <w:sz w:val="84"/>
                <w:szCs w:val="84"/>
                <w:fitText w:val="8856" w:id="0"/>
              </w:rPr>
              <w:t>平潭综合实验区财政金融局文</w:t>
            </w:r>
            <w:r>
              <w:rPr>
                <w:rFonts w:hint="eastAsia" w:ascii="方正小标宋简体" w:eastAsia="方正小标宋简体" w:cs="方正小标宋简体"/>
                <w:color w:val="FF0000"/>
                <w:spacing w:val="20"/>
                <w:w w:val="75"/>
                <w:kern w:val="0"/>
                <w:sz w:val="84"/>
                <w:szCs w:val="84"/>
                <w:fitText w:val="8856" w:id="0"/>
              </w:rPr>
              <w:t>件</w:t>
            </w:r>
          </w:p>
          <w:p>
            <w:pPr>
              <w:spacing w:line="400" w:lineRule="exact"/>
              <w:jc w:val="center"/>
              <w:rPr>
                <w:rFonts w:cs="Times New Roman"/>
                <w:color w:val="FF0000"/>
                <w:w w:val="150"/>
              </w:rPr>
            </w:pPr>
          </w:p>
          <w:p>
            <w:pPr>
              <w:jc w:val="center"/>
              <w:rPr>
                <w:rFonts w:ascii="Times New Roman" w:cs="Times New Roman"/>
              </w:rPr>
            </w:pPr>
            <w:r>
              <w:rPr>
                <w:rFonts w:hint="eastAsia" w:ascii="Times New Roman"/>
              </w:rPr>
              <w:t>岚财金〔</w:t>
            </w:r>
            <w:r>
              <w:rPr>
                <w:rFonts w:ascii="Times New Roman" w:cs="Times New Roman"/>
              </w:rPr>
              <w:t>20</w:t>
            </w:r>
            <w:r>
              <w:rPr>
                <w:rFonts w:hint="eastAsia" w:ascii="Times New Roman" w:cs="Times New Roman"/>
                <w:lang w:val="en-US" w:eastAsia="zh-CN"/>
              </w:rPr>
              <w:t>20</w:t>
            </w:r>
            <w:r>
              <w:rPr>
                <w:rFonts w:hint="eastAsia" w:ascii="Times New Roman"/>
              </w:rPr>
              <w:t>〕</w:t>
            </w:r>
            <w:r>
              <w:rPr>
                <w:rFonts w:hint="eastAsia" w:ascii="Times New Roman"/>
                <w:lang w:val="en-US" w:eastAsia="zh-CN"/>
              </w:rPr>
              <w:t xml:space="preserve">203 </w:t>
            </w:r>
            <w:r>
              <w:rPr>
                <w:rFonts w:hint="eastAsia" w:ascii="Times New Roman"/>
              </w:rPr>
              <w:t>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exact"/>
        </w:trPr>
        <w:tc>
          <w:tcPr>
            <w:tcW w:w="9481" w:type="dxa"/>
            <w:gridSpan w:val="2"/>
          </w:tcPr>
          <w:p>
            <w:pPr>
              <w:jc w:val="center"/>
              <w:rPr>
                <w:rFonts w:cs="Times New Roman"/>
                <w:color w:val="FF000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exact"/>
        </w:trPr>
        <w:tc>
          <w:tcPr>
            <w:tcW w:w="9481" w:type="dxa"/>
            <w:gridSpan w:val="2"/>
            <w:tcBorders>
              <w:bottom w:val="single" w:color="FF0000" w:sz="18" w:space="0"/>
            </w:tcBorders>
          </w:tcPr>
          <w:p>
            <w:pPr>
              <w:jc w:val="center"/>
              <w:rPr>
                <w:rFonts w:cs="Times New Roman"/>
                <w:color w:val="FF0000"/>
              </w:rPr>
            </w:pPr>
          </w:p>
        </w:tc>
      </w:tr>
    </w:tbl>
    <w:p>
      <w:pPr>
        <w:spacing w:line="500" w:lineRule="exact"/>
        <w:rPr>
          <w:rFonts w:cs="Times New Roman"/>
        </w:rPr>
      </w:pPr>
    </w:p>
    <w:p>
      <w:pPr>
        <w:widowControl/>
        <w:spacing w:line="400" w:lineRule="exact"/>
        <w:ind w:right="641" w:firstLine="31680" w:firstLineChars="100"/>
        <w:rPr>
          <w:rFonts w:cs="Times New Roman"/>
        </w:rPr>
      </w:pPr>
    </w:p>
    <w:p>
      <w:pPr>
        <w:overflowPunct w:val="0"/>
        <w:spacing w:line="576" w:lineRule="exact"/>
        <w:jc w:val="center"/>
        <w:rPr>
          <w:rFonts w:ascii="Times New Roman" w:eastAsia="方正小标宋简体" w:cs="Times New Roman"/>
          <w:sz w:val="44"/>
          <w:szCs w:val="44"/>
        </w:rPr>
      </w:pPr>
      <w:r>
        <w:rPr>
          <w:rFonts w:hint="eastAsia" w:ascii="Times New Roman" w:eastAsia="方正小标宋简体" w:cs="方正小标宋简体"/>
          <w:sz w:val="44"/>
          <w:szCs w:val="44"/>
        </w:rPr>
        <w:t>平潭综合实验区财政金融局关于</w:t>
      </w:r>
      <w:r>
        <w:rPr>
          <w:rFonts w:hint="eastAsia" w:ascii="Times New Roman" w:eastAsia="方正小标宋简体" w:cs="Times New Roman"/>
          <w:sz w:val="44"/>
          <w:szCs w:val="44"/>
          <w:lang w:eastAsia="zh-CN"/>
        </w:rPr>
        <w:t>做好</w:t>
      </w:r>
      <w:r>
        <w:rPr>
          <w:rFonts w:ascii="Times New Roman" w:eastAsia="方正小标宋简体" w:cs="Times New Roman"/>
          <w:sz w:val="44"/>
          <w:szCs w:val="44"/>
        </w:rPr>
        <w:t>201</w:t>
      </w:r>
      <w:r>
        <w:rPr>
          <w:rFonts w:hint="eastAsia" w:ascii="Times New Roman" w:eastAsia="方正小标宋简体" w:cs="Times New Roman"/>
          <w:sz w:val="44"/>
          <w:szCs w:val="44"/>
          <w:lang w:val="en-US" w:eastAsia="zh-CN"/>
        </w:rPr>
        <w:t>9</w:t>
      </w:r>
      <w:r>
        <w:rPr>
          <w:rFonts w:hint="eastAsia" w:ascii="Times New Roman" w:eastAsia="方正小标宋简体" w:cs="方正小标宋简体"/>
          <w:sz w:val="44"/>
          <w:szCs w:val="44"/>
        </w:rPr>
        <w:t>年部门决算批复</w:t>
      </w:r>
      <w:r>
        <w:rPr>
          <w:rFonts w:hint="eastAsia" w:ascii="Times New Roman" w:eastAsia="方正小标宋简体" w:cs="方正小标宋简体"/>
          <w:sz w:val="44"/>
          <w:szCs w:val="44"/>
          <w:lang w:eastAsia="zh-CN"/>
        </w:rPr>
        <w:t>和</w:t>
      </w:r>
      <w:r>
        <w:rPr>
          <w:rFonts w:hint="eastAsia" w:ascii="Times New Roman" w:eastAsia="方正小标宋简体" w:cs="方正小标宋简体"/>
          <w:sz w:val="44"/>
          <w:szCs w:val="44"/>
        </w:rPr>
        <w:t>公开工作的通知</w:t>
      </w:r>
    </w:p>
    <w:p>
      <w:pPr>
        <w:overflowPunct w:val="0"/>
        <w:spacing w:line="576" w:lineRule="exact"/>
        <w:rPr>
          <w:rFonts w:ascii="Times New Roman" w:eastAsia="方正小标宋简体" w:cs="Times New Roman"/>
          <w:sz w:val="44"/>
          <w:szCs w:val="44"/>
        </w:rPr>
      </w:pPr>
    </w:p>
    <w:p>
      <w:pPr>
        <w:overflowPunct w:val="0"/>
        <w:spacing w:line="576" w:lineRule="exact"/>
        <w:rPr>
          <w:rFonts w:ascii="Times New Roman" w:cs="Times New Roman"/>
          <w:kern w:val="0"/>
        </w:rPr>
      </w:pPr>
      <w:r>
        <w:rPr>
          <w:rFonts w:hint="eastAsia" w:ascii="Times New Roman"/>
          <w:kern w:val="0"/>
        </w:rPr>
        <w:t>各片区</w:t>
      </w:r>
      <w:r>
        <w:rPr>
          <w:rFonts w:hint="eastAsia" w:ascii="Times New Roman"/>
          <w:kern w:val="0"/>
          <w:lang w:eastAsia="zh-CN"/>
        </w:rPr>
        <w:t>管理局、</w:t>
      </w:r>
      <w:r>
        <w:rPr>
          <w:rFonts w:hint="eastAsia" w:ascii="Times New Roman"/>
          <w:kern w:val="0"/>
        </w:rPr>
        <w:t>区直各单位：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color w:val="auto"/>
          <w:kern w:val="0"/>
        </w:rPr>
        <w:t>201</w:t>
      </w:r>
      <w:r>
        <w:rPr>
          <w:rFonts w:hint="eastAsia" w:ascii="Times New Roman" w:cs="Times New Roman"/>
          <w:color w:val="auto"/>
          <w:kern w:val="0"/>
          <w:lang w:val="en-US" w:eastAsia="zh-CN"/>
        </w:rPr>
        <w:t>9</w:t>
      </w:r>
      <w:r>
        <w:rPr>
          <w:rFonts w:hint="eastAsia" w:ascii="Times New Roman"/>
          <w:color w:val="auto"/>
          <w:kern w:val="0"/>
        </w:rPr>
        <w:t>年度</w:t>
      </w:r>
      <w:r>
        <w:rPr>
          <w:rFonts w:hint="eastAsia" w:ascii="Times New Roman"/>
          <w:color w:val="auto"/>
          <w:kern w:val="0"/>
          <w:lang w:eastAsia="zh-CN"/>
        </w:rPr>
        <w:t>平潭</w:t>
      </w:r>
      <w:r>
        <w:rPr>
          <w:rFonts w:hint="eastAsia" w:ascii="Times New Roman"/>
          <w:color w:val="auto"/>
          <w:kern w:val="0"/>
        </w:rPr>
        <w:t>财政决算报告已</w:t>
      </w:r>
      <w:r>
        <w:rPr>
          <w:rFonts w:hint="eastAsia" w:ascii="Times New Roman"/>
          <w:color w:val="auto"/>
          <w:kern w:val="0"/>
          <w:lang w:eastAsia="zh-CN"/>
        </w:rPr>
        <w:t>于</w:t>
      </w:r>
      <w:r>
        <w:rPr>
          <w:rFonts w:hint="eastAsia" w:ascii="Times New Roman"/>
          <w:color w:val="auto"/>
          <w:kern w:val="0"/>
          <w:lang w:val="en-US" w:eastAsia="zh-CN"/>
        </w:rPr>
        <w:t>2020年7月31日经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</w:rPr>
        <w:t>平潭县第十七届人大常委会第二十九次会议</w:t>
      </w:r>
      <w:r>
        <w:rPr>
          <w:rFonts w:hint="eastAsia" w:ascii="Times New Roman"/>
          <w:color w:val="auto"/>
          <w:kern w:val="0"/>
        </w:rPr>
        <w:t>审</w:t>
      </w:r>
      <w:r>
        <w:rPr>
          <w:rFonts w:hint="eastAsia" w:ascii="Times New Roman"/>
          <w:kern w:val="0"/>
        </w:rPr>
        <w:t>议通过</w:t>
      </w:r>
      <w:r>
        <w:rPr>
          <w:rFonts w:hint="eastAsia" w:ascii="Times New Roman"/>
          <w:kern w:val="0"/>
          <w:lang w:eastAsia="zh-CN"/>
        </w:rPr>
        <w:t>。</w:t>
      </w:r>
      <w:r>
        <w:rPr>
          <w:rFonts w:hint="eastAsia" w:ascii="Times New Roman"/>
          <w:kern w:val="0"/>
        </w:rPr>
        <w:t>根据《预算法》《</w:t>
      </w:r>
      <w:r>
        <w:rPr>
          <w:rFonts w:hint="eastAsia" w:ascii="Times New Roman"/>
          <w:kern w:val="0"/>
          <w:lang w:eastAsia="zh-CN"/>
        </w:rPr>
        <w:t>关于进一步推进预算公开工作的实施意见</w:t>
      </w:r>
      <w:r>
        <w:rPr>
          <w:rFonts w:hint="eastAsia" w:ascii="Times New Roman"/>
          <w:kern w:val="0"/>
        </w:rPr>
        <w:t>》（闽</w:t>
      </w:r>
      <w:r>
        <w:rPr>
          <w:rFonts w:hint="eastAsia" w:ascii="Times New Roman"/>
          <w:kern w:val="0"/>
          <w:lang w:eastAsia="zh-CN"/>
        </w:rPr>
        <w:t>委办发</w:t>
      </w:r>
      <w:r>
        <w:rPr>
          <w:rFonts w:hint="eastAsia" w:ascii="Times New Roman"/>
        </w:rPr>
        <w:t>〔</w:t>
      </w:r>
      <w:r>
        <w:rPr>
          <w:rFonts w:ascii="Times New Roman" w:cs="Times New Roman"/>
        </w:rPr>
        <w:t>201</w:t>
      </w:r>
      <w:r>
        <w:rPr>
          <w:rFonts w:hint="eastAsia" w:ascii="Times New Roman" w:cs="Times New Roman"/>
          <w:lang w:val="en-US" w:eastAsia="zh-CN"/>
        </w:rPr>
        <w:t>6</w:t>
      </w:r>
      <w:r>
        <w:rPr>
          <w:rFonts w:hint="eastAsia" w:ascii="Times New Roman"/>
        </w:rPr>
        <w:t>〕</w:t>
      </w:r>
      <w:r>
        <w:rPr>
          <w:rFonts w:hint="eastAsia" w:ascii="Times New Roman"/>
          <w:lang w:val="en-US" w:eastAsia="zh-CN"/>
        </w:rPr>
        <w:t>22</w:t>
      </w:r>
      <w:r>
        <w:rPr>
          <w:rFonts w:hint="eastAsia" w:ascii="Times New Roman"/>
          <w:kern w:val="0"/>
        </w:rPr>
        <w:t>号）及《福建省财政厅关于印发</w:t>
      </w:r>
      <w:r>
        <w:rPr>
          <w:rFonts w:ascii="Times New Roman" w:cs="Times New Roman"/>
          <w:kern w:val="0"/>
        </w:rPr>
        <w:t>&lt;</w:t>
      </w:r>
      <w:r>
        <w:rPr>
          <w:rFonts w:hint="eastAsia" w:ascii="Times New Roman"/>
          <w:kern w:val="0"/>
        </w:rPr>
        <w:t>福建省预决算公开操作规程</w:t>
      </w:r>
      <w:r>
        <w:rPr>
          <w:rFonts w:ascii="Times New Roman" w:cs="Times New Roman"/>
          <w:kern w:val="0"/>
        </w:rPr>
        <w:t>&gt;</w:t>
      </w:r>
      <w:r>
        <w:rPr>
          <w:rFonts w:hint="eastAsia" w:ascii="Times New Roman"/>
          <w:kern w:val="0"/>
        </w:rPr>
        <w:t>的通知》（闽财预</w:t>
      </w:r>
      <w:r>
        <w:rPr>
          <w:rFonts w:hint="eastAsia" w:ascii="Times New Roman"/>
        </w:rPr>
        <w:t>〔</w:t>
      </w:r>
      <w:r>
        <w:rPr>
          <w:rFonts w:ascii="Times New Roman" w:cs="Times New Roman"/>
        </w:rPr>
        <w:t>2017</w:t>
      </w:r>
      <w:r>
        <w:rPr>
          <w:rFonts w:hint="eastAsia" w:ascii="Times New Roman"/>
        </w:rPr>
        <w:t>〕</w:t>
      </w:r>
      <w:r>
        <w:rPr>
          <w:rFonts w:ascii="Times New Roman" w:cs="Times New Roman"/>
          <w:kern w:val="0"/>
        </w:rPr>
        <w:t>38</w:t>
      </w:r>
      <w:r>
        <w:rPr>
          <w:rFonts w:hint="eastAsia" w:ascii="Times New Roman"/>
          <w:kern w:val="0"/>
        </w:rPr>
        <w:t>号）等相关规定，财政部门应当在本级人大会审查批准决算后</w:t>
      </w:r>
      <w:r>
        <w:rPr>
          <w:rFonts w:ascii="Times New Roman" w:cs="Times New Roman"/>
          <w:kern w:val="0"/>
        </w:rPr>
        <w:t>20</w:t>
      </w:r>
      <w:r>
        <w:rPr>
          <w:rFonts w:hint="eastAsia" w:ascii="Times New Roman"/>
          <w:kern w:val="0"/>
        </w:rPr>
        <w:t>天内向本级各部门批复决算，各片区</w:t>
      </w:r>
      <w:r>
        <w:rPr>
          <w:rFonts w:hint="eastAsia" w:ascii="Times New Roman"/>
          <w:kern w:val="0"/>
          <w:lang w:eastAsia="zh-CN"/>
        </w:rPr>
        <w:t>管理局</w:t>
      </w:r>
      <w:r>
        <w:rPr>
          <w:rFonts w:hint="eastAsia" w:ascii="Times New Roman"/>
          <w:kern w:val="0"/>
        </w:rPr>
        <w:t>、区直各部门（以下统一简称各部门）在接到本级财政部门批复的本部门决算后</w:t>
      </w:r>
      <w:r>
        <w:rPr>
          <w:rFonts w:ascii="Times New Roman" w:cs="Times New Roman"/>
          <w:kern w:val="0"/>
        </w:rPr>
        <w:t>20</w:t>
      </w:r>
      <w:r>
        <w:rPr>
          <w:rFonts w:hint="eastAsia" w:ascii="Times New Roman"/>
          <w:kern w:val="0"/>
        </w:rPr>
        <w:t>日内向社会公开决算。现将</w:t>
      </w:r>
      <w:r>
        <w:rPr>
          <w:rFonts w:hint="eastAsia" w:ascii="Times New Roman"/>
          <w:kern w:val="0"/>
          <w:lang w:eastAsia="zh-CN"/>
        </w:rPr>
        <w:t>做好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年部门决算批复和公开工作通知如下：</w:t>
      </w:r>
    </w:p>
    <w:p>
      <w:pPr>
        <w:numPr>
          <w:ilvl w:val="0"/>
          <w:numId w:val="1"/>
        </w:numPr>
        <w:overflowPunct w:val="0"/>
        <w:spacing w:line="576" w:lineRule="exact"/>
        <w:ind w:firstLine="31680" w:firstLineChars="200"/>
        <w:rPr>
          <w:rFonts w:hint="eastAsia" w:ascii="Times New Roman"/>
          <w:kern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</w:rPr>
        <w:t>部门</w:t>
      </w:r>
      <w:r>
        <w:rPr>
          <w:rFonts w:hint="eastAsia" w:ascii="黑体" w:hAnsi="黑体" w:eastAsia="黑体" w:cs="黑体"/>
          <w:kern w:val="0"/>
        </w:rPr>
        <w:t>决算批复</w:t>
      </w:r>
    </w:p>
    <w:p>
      <w:pPr>
        <w:numPr>
          <w:ilvl w:val="0"/>
          <w:numId w:val="0"/>
        </w:numPr>
        <w:overflowPunct w:val="0"/>
        <w:spacing w:line="576" w:lineRule="exact"/>
        <w:rPr>
          <w:rFonts w:ascii="Times New Roman" w:cs="Times New Roman"/>
          <w:kern w:val="0"/>
        </w:rPr>
      </w:pPr>
      <w:r>
        <w:rPr>
          <w:rFonts w:hint="eastAsia" w:ascii="楷体_GB2312" w:eastAsia="楷体_GB2312" w:cs="楷体_GB2312"/>
          <w:kern w:val="0"/>
          <w:lang w:val="en-US" w:eastAsia="zh-CN"/>
        </w:rPr>
        <w:t xml:space="preserve">    </w:t>
      </w:r>
      <w:r>
        <w:rPr>
          <w:rFonts w:hint="eastAsia" w:ascii="楷体_GB2312" w:eastAsia="楷体_GB2312" w:cs="楷体_GB2312"/>
          <w:kern w:val="0"/>
        </w:rPr>
        <w:t>（一）部门决算批复可采用网络版系统中的功能直接操作。</w:t>
      </w:r>
      <w:r>
        <w:rPr>
          <w:rFonts w:hint="eastAsia" w:ascii="Times New Roman"/>
          <w:kern w:val="0"/>
        </w:rPr>
        <w:t>区财政金融局各相关业务处人员自行登录“久其报表客户端”，进入“数据采集”</w:t>
      </w:r>
      <w:r>
        <w:rPr>
          <w:rFonts w:ascii="Times New Roman" w:cs="Times New Roman"/>
          <w:kern w:val="0"/>
        </w:rPr>
        <w:t>—</w:t>
      </w:r>
      <w:r>
        <w:rPr>
          <w:rFonts w:hint="eastAsia" w:ascii="Times New Roman"/>
          <w:kern w:val="0"/>
        </w:rPr>
        <w:t>“批复任务”</w:t>
      </w:r>
      <w:r>
        <w:rPr>
          <w:rFonts w:ascii="Times New Roman" w:cs="Times New Roman"/>
          <w:kern w:val="0"/>
        </w:rPr>
        <w:t>—</w:t>
      </w:r>
      <w:r>
        <w:rPr>
          <w:rFonts w:hint="eastAsia" w:ascii="Times New Roman"/>
          <w:kern w:val="0"/>
        </w:rPr>
        <w:t>任务</w:t>
      </w:r>
      <w:r>
        <w:rPr>
          <w:rFonts w:ascii="Times New Roman" w:cs="Times New Roman"/>
          <w:kern w:val="0"/>
        </w:rPr>
        <w:t>/</w:t>
      </w:r>
      <w:r>
        <w:rPr>
          <w:rFonts w:hint="eastAsia" w:ascii="Times New Roman"/>
          <w:kern w:val="0"/>
        </w:rPr>
        <w:t>时期选择（任务选“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年决算批复任务”；时期选“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年”），点“确定”就可以进行操作：选择要批复的单位。批复有</w:t>
      </w:r>
      <w:r>
        <w:rPr>
          <w:rFonts w:ascii="Times New Roman" w:cs="Times New Roman"/>
          <w:kern w:val="0"/>
        </w:rPr>
        <w:t>3</w:t>
      </w:r>
      <w:r>
        <w:rPr>
          <w:rFonts w:hint="eastAsia" w:ascii="Times New Roman"/>
          <w:kern w:val="0"/>
        </w:rPr>
        <w:t>个内容：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1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批复文本，可以导出来进行排版（填写文号岚财决</w:t>
      </w:r>
      <w:r>
        <w:rPr>
          <w:rFonts w:hint="eastAsia" w:ascii="Times New Roman"/>
        </w:rPr>
        <w:t>〔</w:t>
      </w:r>
      <w:r>
        <w:rPr>
          <w:rFonts w:ascii="Times New Roman" w:cs="Times New Roman"/>
        </w:rPr>
        <w:t>20</w:t>
      </w:r>
      <w:r>
        <w:rPr>
          <w:rFonts w:hint="eastAsia" w:ascii="Times New Roman" w:cs="Times New Roman"/>
          <w:lang w:val="en-US" w:eastAsia="zh-CN"/>
        </w:rPr>
        <w:t>20</w:t>
      </w:r>
      <w:r>
        <w:rPr>
          <w:rFonts w:hint="eastAsia" w:ascii="Times New Roman"/>
        </w:rPr>
        <w:t>〕××</w:t>
      </w:r>
      <w:r>
        <w:rPr>
          <w:rFonts w:hint="eastAsia" w:ascii="Times New Roman"/>
          <w:kern w:val="0"/>
        </w:rPr>
        <w:t>号、字体、字号），批复给各部门文号按设定不同序号进行排列编辑，财政部门批复决算文本及文号详见附件</w:t>
      </w:r>
      <w:r>
        <w:rPr>
          <w:rFonts w:ascii="Times New Roman" w:cs="Times New Roman"/>
          <w:kern w:val="0"/>
        </w:rPr>
        <w:t>1</w:t>
      </w:r>
      <w:r>
        <w:rPr>
          <w:rFonts w:hint="eastAsia" w:ascii="Times New Roman"/>
          <w:kern w:val="0"/>
        </w:rPr>
        <w:t>、附件</w:t>
      </w:r>
      <w:r>
        <w:rPr>
          <w:rFonts w:ascii="Times New Roman" w:cs="Times New Roman"/>
          <w:kern w:val="0"/>
        </w:rPr>
        <w:t>2</w:t>
      </w:r>
      <w:r>
        <w:rPr>
          <w:rFonts w:hint="eastAsia" w:ascii="Times New Roman"/>
          <w:kern w:val="0"/>
        </w:rPr>
        <w:t>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2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批复决算表有</w:t>
      </w:r>
      <w:r>
        <w:rPr>
          <w:rFonts w:ascii="Times New Roman" w:cs="Times New Roman"/>
          <w:kern w:val="0"/>
        </w:rPr>
        <w:t>7</w:t>
      </w:r>
      <w:r>
        <w:rPr>
          <w:rFonts w:hint="eastAsia" w:ascii="Times New Roman"/>
          <w:kern w:val="0"/>
        </w:rPr>
        <w:t>张，可以从系统中直接打印。具体决算批复表如下：（</w:t>
      </w:r>
      <w:r>
        <w:rPr>
          <w:rFonts w:ascii="Times New Roman" w:cs="Times New Roman"/>
          <w:kern w:val="0"/>
        </w:rPr>
        <w:t>1</w:t>
      </w:r>
      <w:r>
        <w:rPr>
          <w:rFonts w:hint="eastAsia" w:ascii="Times New Roman"/>
          <w:kern w:val="0"/>
        </w:rPr>
        <w:t>）收入支出决算批复表；（</w:t>
      </w:r>
      <w:r>
        <w:rPr>
          <w:rFonts w:ascii="Times New Roman" w:cs="Times New Roman"/>
          <w:kern w:val="0"/>
        </w:rPr>
        <w:t>2</w:t>
      </w:r>
      <w:r>
        <w:rPr>
          <w:rFonts w:hint="eastAsia" w:ascii="Times New Roman"/>
          <w:kern w:val="0"/>
        </w:rPr>
        <w:t>）</w:t>
      </w:r>
      <w:bookmarkStart w:id="0" w:name="_Hlk15579579"/>
      <w:r>
        <w:rPr>
          <w:rFonts w:hint="eastAsia" w:ascii="Times New Roman"/>
          <w:kern w:val="0"/>
        </w:rPr>
        <w:t>一般公共预算财政拨款收入支出决算批复表</w:t>
      </w:r>
      <w:bookmarkEnd w:id="0"/>
      <w:r>
        <w:rPr>
          <w:rFonts w:hint="eastAsia" w:ascii="Times New Roman"/>
          <w:kern w:val="0"/>
        </w:rPr>
        <w:t>；（</w:t>
      </w:r>
      <w:r>
        <w:rPr>
          <w:rFonts w:ascii="Times New Roman" w:cs="Times New Roman"/>
          <w:kern w:val="0"/>
        </w:rPr>
        <w:t>3</w:t>
      </w:r>
      <w:r>
        <w:rPr>
          <w:rFonts w:hint="eastAsia" w:ascii="Times New Roman"/>
          <w:kern w:val="0"/>
        </w:rPr>
        <w:t>）政府性基金预算财政拨款收入支出决算批复表；（</w:t>
      </w:r>
      <w:r>
        <w:rPr>
          <w:rFonts w:ascii="Times New Roman" w:cs="Times New Roman"/>
          <w:kern w:val="0"/>
        </w:rPr>
        <w:t>4</w:t>
      </w:r>
      <w:r>
        <w:rPr>
          <w:rFonts w:hint="eastAsia" w:ascii="Times New Roman"/>
          <w:kern w:val="0"/>
        </w:rPr>
        <w:t>）支出决算批复表；（</w:t>
      </w:r>
      <w:r>
        <w:rPr>
          <w:rFonts w:ascii="Times New Roman" w:cs="Times New Roman"/>
          <w:kern w:val="0"/>
        </w:rPr>
        <w:t>5</w:t>
      </w:r>
      <w:r>
        <w:rPr>
          <w:rFonts w:hint="eastAsia" w:ascii="Times New Roman"/>
          <w:kern w:val="0"/>
        </w:rPr>
        <w:t>）一般公共预算财政拨款支出决算明细表；（</w:t>
      </w:r>
      <w:r>
        <w:rPr>
          <w:rFonts w:ascii="Times New Roman" w:cs="Times New Roman"/>
          <w:kern w:val="0"/>
        </w:rPr>
        <w:t>6</w:t>
      </w:r>
      <w:r>
        <w:rPr>
          <w:rFonts w:hint="eastAsia" w:ascii="Times New Roman"/>
          <w:kern w:val="0"/>
        </w:rPr>
        <w:t>）一般公共预算财政拨款基本支出决算批复表；（</w:t>
      </w:r>
      <w:r>
        <w:rPr>
          <w:rFonts w:ascii="Times New Roman" w:cs="Times New Roman"/>
          <w:kern w:val="0"/>
        </w:rPr>
        <w:t>7</w:t>
      </w:r>
      <w:r>
        <w:rPr>
          <w:rFonts w:hint="eastAsia" w:ascii="Times New Roman"/>
          <w:kern w:val="0"/>
        </w:rPr>
        <w:t>）“三公”经费一般公共预算财政拨款支出决算批复表。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3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部门决算量化评价表</w:t>
      </w:r>
      <w:r>
        <w:rPr>
          <w:rFonts w:ascii="Times New Roman" w:cs="Times New Roman"/>
          <w:kern w:val="0"/>
        </w:rPr>
        <w:t>1</w:t>
      </w:r>
      <w:r>
        <w:rPr>
          <w:rFonts w:hint="eastAsia" w:ascii="Times New Roman"/>
          <w:kern w:val="0"/>
        </w:rPr>
        <w:t>张，可以在网络版系统（进入“数据采集”</w:t>
      </w:r>
      <w:r>
        <w:rPr>
          <w:rFonts w:ascii="Times New Roman" w:cs="Times New Roman"/>
          <w:kern w:val="0"/>
        </w:rPr>
        <w:t>—</w:t>
      </w:r>
      <w:r>
        <w:rPr>
          <w:rFonts w:hint="eastAsia" w:ascii="Times New Roman"/>
          <w:kern w:val="0"/>
        </w:rPr>
        <w:t>“决算任务”）或单机版中打印。</w:t>
      </w:r>
    </w:p>
    <w:p>
      <w:pPr>
        <w:overflowPunct w:val="0"/>
        <w:spacing w:line="576" w:lineRule="exact"/>
        <w:ind w:firstLine="31680" w:firstLineChars="200"/>
        <w:rPr>
          <w:rFonts w:ascii="楷体_GB2312" w:eastAsia="楷体_GB2312" w:cs="Times New Roman"/>
          <w:kern w:val="0"/>
        </w:rPr>
      </w:pPr>
      <w:r>
        <w:rPr>
          <w:rFonts w:hint="eastAsia" w:ascii="楷体_GB2312" w:eastAsia="楷体_GB2312" w:cs="楷体_GB2312"/>
          <w:kern w:val="0"/>
        </w:rPr>
        <w:t>（二）</w:t>
      </w:r>
      <w:r>
        <w:rPr>
          <w:rFonts w:hint="eastAsia" w:ascii="Times New Roman"/>
          <w:kern w:val="0"/>
        </w:rPr>
        <w:t>各部门批复所属单位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年部门决算，须自接到财政部门批复本部门决算之日起</w:t>
      </w:r>
      <w:r>
        <w:rPr>
          <w:rFonts w:ascii="Times New Roman" w:cs="Times New Roman"/>
          <w:kern w:val="0"/>
        </w:rPr>
        <w:t>15</w:t>
      </w:r>
      <w:r>
        <w:rPr>
          <w:rFonts w:hint="eastAsia" w:ascii="Times New Roman"/>
          <w:kern w:val="0"/>
        </w:rPr>
        <w:t>日内批复</w:t>
      </w:r>
      <w:r>
        <w:rPr>
          <w:rFonts w:hint="eastAsia" w:ascii="Times New Roman"/>
          <w:kern w:val="0"/>
          <w:lang w:eastAsia="zh-CN"/>
        </w:rPr>
        <w:t>。</w:t>
      </w:r>
      <w:r>
        <w:rPr>
          <w:rFonts w:hint="eastAsia" w:ascii="楷体_GB2312" w:eastAsia="楷体_GB2312" w:cs="楷体_GB2312"/>
          <w:kern w:val="0"/>
        </w:rPr>
        <w:t>各部门批复所属单位决算可参照上述方法操作，具体批复文本要以各部门名义批复（无所属单位决算不必批复），个别文字内容要适当加以修改。</w:t>
      </w:r>
    </w:p>
    <w:p>
      <w:pPr>
        <w:overflowPunct w:val="0"/>
        <w:spacing w:line="576" w:lineRule="exact"/>
        <w:ind w:firstLine="31680" w:firstLineChars="200"/>
        <w:rPr>
          <w:rFonts w:ascii="黑体" w:hAnsi="黑体" w:eastAsia="黑体" w:cs="Times New Roman"/>
          <w:kern w:val="0"/>
        </w:rPr>
      </w:pPr>
      <w:r>
        <w:rPr>
          <w:rFonts w:hint="eastAsia" w:ascii="黑体" w:hAnsi="黑体" w:eastAsia="黑体" w:cs="黑体"/>
          <w:kern w:val="0"/>
        </w:rPr>
        <w:t>二、部门决算公开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hint="eastAsia" w:ascii="Times New Roman"/>
          <w:kern w:val="0"/>
        </w:rPr>
        <w:t>各部门是部门决算公开的责任主体</w:t>
      </w:r>
      <w:r>
        <w:rPr>
          <w:rFonts w:hint="eastAsia" w:ascii="仿宋" w:hAnsi="仿宋" w:eastAsia="仿宋" w:cs="仿宋"/>
          <w:kern w:val="0"/>
          <w:sz w:val="32"/>
          <w:szCs w:val="32"/>
        </w:rPr>
        <w:t>，</w:t>
      </w:r>
      <w:r>
        <w:rPr>
          <w:rFonts w:hint="eastAsia" w:ascii="Times New Roman"/>
          <w:kern w:val="0"/>
          <w:lang w:eastAsia="zh-CN"/>
        </w:rPr>
        <w:t>要</w:t>
      </w:r>
      <w:r>
        <w:rPr>
          <w:rFonts w:hint="eastAsia" w:ascii="仿宋" w:hAnsi="仿宋" w:eastAsia="仿宋" w:cs="宋体"/>
          <w:kern w:val="0"/>
          <w:sz w:val="32"/>
          <w:szCs w:val="32"/>
        </w:rPr>
        <w:t>依法依规履行公开责任和义务，做好本部门决算公开工作</w:t>
      </w:r>
      <w:r>
        <w:rPr>
          <w:rFonts w:hint="eastAsia" w:ascii="仿宋" w:hAnsi="仿宋" w:eastAsia="仿宋" w:cs="仿宋"/>
          <w:kern w:val="0"/>
          <w:sz w:val="32"/>
          <w:szCs w:val="32"/>
        </w:rPr>
        <w:t>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</w:rPr>
        <w:t>并严格按照保密法律法规和《福建省财政厅关于印发福建省预决算公开操作规程的通知》（闽财预〔2017〕38号）等有关规定,建立健全信息公开保密审查机制，做好涉密事项的定密、解密及信息公开的保密审查工作。除涉密部门及依法确定为涉密范围外,应在中国平潭网（网址：</w:t>
      </w:r>
      <w:bookmarkStart w:id="2" w:name="_GoBack"/>
      <w:r>
        <w:rPr>
          <w:rFonts w:hint="eastAsia" w:ascii="仿宋" w:hAnsi="仿宋" w:eastAsia="仿宋" w:cs="仿宋"/>
          <w:color w:val="auto"/>
        </w:rPr>
        <w:fldChar w:fldCharType="begin"/>
      </w:r>
      <w:r>
        <w:rPr>
          <w:rFonts w:hint="eastAsia" w:ascii="仿宋" w:hAnsi="仿宋" w:eastAsia="仿宋" w:cs="仿宋"/>
          <w:color w:val="auto"/>
        </w:rPr>
        <w:instrText xml:space="preserve"> HYPERLINK "http://www.pingtan.gov.cn）《政务公开专栏》的\\“财政资金\\”专栏目录下\\“部门决算公开\\”统一平台上公开本部门2019年度部门决算及\\“三公\\”经费决算（具体公开格式详见附件2），为落实省厅鼓励部门决算原则上在同一天集中公开的要求，应提前做好公开文档编辑、网络调试等各项准备工作，统一于8月10日当天公开部门决算，并及时将决算公开情况反馈我局。" </w:instrText>
      </w:r>
      <w:r>
        <w:rPr>
          <w:rFonts w:hint="eastAsia" w:ascii="仿宋" w:hAnsi="仿宋" w:eastAsia="仿宋" w:cs="仿宋"/>
          <w:color w:val="auto"/>
        </w:rPr>
        <w:fldChar w:fldCharType="separate"/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</w:rPr>
        <w:t>www.pingtan.gov.cn）《政务公开专栏》的“财政资金”专栏目录下“部门决算公开”统一平台上公开本部门2019年度部门决算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  <w:lang w:eastAsia="zh-CN"/>
        </w:rPr>
        <w:t>；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</w:rPr>
        <w:t>为落实省厅鼓励部门决算原则上在同一天集中公开的要求，应提前做好公开文档编辑、网络调试等各项准备工作，统一于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  <w:lang w:val="en-US" w:eastAsia="zh-CN"/>
        </w:rPr>
        <w:t>2020年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</w:rPr>
        <w:t>8月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  <w:lang w:val="en-US" w:eastAsia="zh-CN"/>
        </w:rPr>
        <w:t>20</w:t>
      </w:r>
      <w:r>
        <w:rPr>
          <w:rStyle w:val="15"/>
          <w:rFonts w:hint="eastAsia" w:ascii="仿宋" w:hAnsi="仿宋" w:eastAsia="仿宋" w:cs="仿宋"/>
          <w:color w:val="auto"/>
          <w:kern w:val="0"/>
          <w:sz w:val="32"/>
          <w:szCs w:val="32"/>
        </w:rPr>
        <w:t>日当天公开部门决算</w:t>
      </w:r>
      <w:r>
        <w:rPr>
          <w:rFonts w:hint="eastAsia" w:ascii="仿宋" w:hAnsi="仿宋" w:eastAsia="仿宋" w:cs="仿宋"/>
          <w:color w:val="auto"/>
        </w:rPr>
        <w:fldChar w:fldCharType="end"/>
      </w:r>
      <w:r>
        <w:rPr>
          <w:rFonts w:hint="eastAsia" w:ascii="仿宋" w:hAnsi="仿宋" w:eastAsia="仿宋" w:cs="仿宋"/>
          <w:color w:val="auto"/>
          <w:kern w:val="0"/>
        </w:rPr>
        <w:t>。</w:t>
      </w:r>
      <w:r>
        <w:rPr>
          <w:rFonts w:hint="eastAsia" w:ascii="Times New Roman"/>
          <w:kern w:val="0"/>
        </w:rPr>
        <w:t>各部门</w:t>
      </w:r>
      <w:bookmarkEnd w:id="2"/>
      <w:r>
        <w:rPr>
          <w:rFonts w:hint="eastAsia" w:ascii="Times New Roman"/>
          <w:kern w:val="0"/>
        </w:rPr>
        <w:t>人员自行登录“久其报表客户端”，进入“数据采集”</w:t>
      </w:r>
      <w:r>
        <w:rPr>
          <w:rFonts w:ascii="Times New Roman" w:cs="Times New Roman"/>
          <w:kern w:val="0"/>
        </w:rPr>
        <w:t>—</w:t>
      </w:r>
      <w:r>
        <w:rPr>
          <w:rFonts w:hint="eastAsia" w:ascii="Times New Roman"/>
          <w:kern w:val="0"/>
        </w:rPr>
        <w:t>“公开文本”</w:t>
      </w:r>
      <w:r>
        <w:rPr>
          <w:rFonts w:ascii="Times New Roman" w:cs="Times New Roman"/>
          <w:kern w:val="0"/>
        </w:rPr>
        <w:t>—</w:t>
      </w:r>
      <w:r>
        <w:rPr>
          <w:rFonts w:hint="eastAsia" w:ascii="Times New Roman"/>
          <w:kern w:val="0"/>
        </w:rPr>
        <w:t>任务</w:t>
      </w:r>
      <w:r>
        <w:rPr>
          <w:rFonts w:ascii="Times New Roman" w:cs="Times New Roman"/>
          <w:kern w:val="0"/>
        </w:rPr>
        <w:t>/</w:t>
      </w:r>
      <w:r>
        <w:rPr>
          <w:rFonts w:hint="eastAsia" w:ascii="Times New Roman"/>
          <w:kern w:val="0"/>
        </w:rPr>
        <w:t>时期选择（任务选“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年决算公开文本任务”；时期选“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年”），点“确定”就可以进行操作：选择要公开的部门。公开内容与要求：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1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部门决算公开文本，公开文本格式要从系统里导出。各部门公开决算表的同时，应当一并公开部门的职责、机构设置、决算收支增减变化、</w:t>
      </w:r>
      <w:r>
        <w:rPr>
          <w:rFonts w:hint="eastAsia" w:ascii="Times New Roman"/>
          <w:kern w:val="0"/>
          <w:lang w:eastAsia="zh-CN"/>
        </w:rPr>
        <w:t>“三公”经费支出、</w:t>
      </w:r>
      <w:r>
        <w:rPr>
          <w:rFonts w:hint="eastAsia" w:ascii="Times New Roman"/>
          <w:kern w:val="0"/>
        </w:rPr>
        <w:t>机关运行经费安排、政府采购、国有资产占有使用、预算绩效等内容信息情况</w:t>
      </w:r>
      <w:r>
        <w:rPr>
          <w:rFonts w:ascii="Times New Roman" w:cs="Times New Roman"/>
          <w:kern w:val="0"/>
        </w:rPr>
        <w:t>,</w:t>
      </w:r>
      <w:r>
        <w:rPr>
          <w:rFonts w:hint="eastAsia" w:ascii="Times New Roman"/>
          <w:kern w:val="0"/>
        </w:rPr>
        <w:t>要按照公开文本模板的内容进行完整编辑（除依法确定为涉密内容外），具体公开文本详见附件</w:t>
      </w:r>
      <w:r>
        <w:rPr>
          <w:rFonts w:ascii="Times New Roman" w:cs="Times New Roman"/>
          <w:kern w:val="0"/>
        </w:rPr>
        <w:t>3</w:t>
      </w:r>
      <w:r>
        <w:rPr>
          <w:rFonts w:hint="eastAsia" w:ascii="Times New Roman"/>
          <w:kern w:val="0"/>
        </w:rPr>
        <w:t>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2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决算表格有</w:t>
      </w:r>
      <w:r>
        <w:rPr>
          <w:rFonts w:hint="eastAsia" w:ascii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张，可以从系统中点“全算”后，再在“高级”下选“导出”就可直接导出。没有数据的决算表也要列示空表，并在空表的左下角说明。如：政府性基金预算财政拨款收入支出决算表是空表，可说明“备注：本表无数据，本部门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年度没有使用政府性基金预算拨款安排的支出”。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3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公开文档要求文字（含封面、目录）和表格拼在一份文档里。由于每个单位浮动表的行次不同，网络版无法实现文档和表格合并显示，各部门可以参照省财政厅下发两份《部门预决算公开操作手册》文档操作方法将文字部分和表格合并（详见附件</w:t>
      </w:r>
      <w:r>
        <w:rPr>
          <w:rFonts w:ascii="Times New Roman" w:cs="Times New Roman"/>
          <w:kern w:val="0"/>
        </w:rPr>
        <w:t>4</w:t>
      </w:r>
      <w:r>
        <w:rPr>
          <w:rFonts w:hint="eastAsia" w:ascii="Times New Roman"/>
          <w:kern w:val="0"/>
        </w:rPr>
        <w:t>）。</w:t>
      </w:r>
    </w:p>
    <w:p>
      <w:pPr>
        <w:overflowPunct w:val="0"/>
        <w:spacing w:line="576" w:lineRule="exact"/>
        <w:ind w:firstLine="31680" w:firstLineChars="200"/>
        <w:rPr>
          <w:rFonts w:ascii="黑体" w:hAnsi="黑体" w:eastAsia="黑体" w:cs="Times New Roman"/>
          <w:kern w:val="0"/>
        </w:rPr>
      </w:pPr>
      <w:r>
        <w:rPr>
          <w:rFonts w:hint="eastAsia" w:ascii="黑体" w:hAnsi="黑体" w:eastAsia="黑体" w:cs="黑体"/>
          <w:kern w:val="0"/>
        </w:rPr>
        <w:t>三、其他事项及要求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1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区财政金融局各相关业务处批复各部门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年部门决算</w:t>
      </w:r>
      <w:r>
        <w:rPr>
          <w:rFonts w:hint="eastAsia" w:ascii="Times New Roman"/>
          <w:kern w:val="0"/>
          <w:lang w:eastAsia="zh-CN"/>
        </w:rPr>
        <w:t>时间，统一为</w:t>
      </w:r>
      <w:r>
        <w:rPr>
          <w:rFonts w:ascii="Times New Roman" w:cs="Times New Roman"/>
          <w:kern w:val="0"/>
        </w:rPr>
        <w:t>20</w:t>
      </w:r>
      <w:r>
        <w:rPr>
          <w:rFonts w:hint="eastAsia" w:ascii="Times New Roman" w:cs="Times New Roman"/>
          <w:kern w:val="0"/>
          <w:lang w:val="en-US" w:eastAsia="zh-CN"/>
        </w:rPr>
        <w:t>20</w:t>
      </w:r>
      <w:r>
        <w:rPr>
          <w:rFonts w:hint="eastAsia" w:ascii="Times New Roman"/>
          <w:kern w:val="0"/>
        </w:rPr>
        <w:t>年</w:t>
      </w:r>
      <w:r>
        <w:rPr>
          <w:rFonts w:ascii="Times New Roman" w:cs="Times New Roman"/>
          <w:kern w:val="0"/>
        </w:rPr>
        <w:t>8</w:t>
      </w:r>
      <w:r>
        <w:rPr>
          <w:rFonts w:hint="eastAsia" w:ascii="Times New Roman"/>
          <w:kern w:val="0"/>
        </w:rPr>
        <w:t>月</w:t>
      </w:r>
      <w:r>
        <w:rPr>
          <w:rFonts w:ascii="Times New Roman" w:cs="Times New Roman"/>
          <w:kern w:val="0"/>
        </w:rPr>
        <w:t>1</w:t>
      </w:r>
      <w:r>
        <w:rPr>
          <w:rFonts w:hint="eastAsia" w:ascii="Times New Roman" w:cs="Times New Roman"/>
          <w:kern w:val="0"/>
          <w:lang w:val="en-US" w:eastAsia="zh-CN"/>
        </w:rPr>
        <w:t>0</w:t>
      </w:r>
      <w:r>
        <w:rPr>
          <w:rFonts w:hint="eastAsia" w:ascii="Times New Roman"/>
          <w:kern w:val="0"/>
        </w:rPr>
        <w:t>日。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2</w:t>
      </w:r>
      <w:r>
        <w:rPr>
          <w:kern w:val="0"/>
        </w:rPr>
        <w:t>.</w:t>
      </w:r>
      <w:r>
        <w:rPr>
          <w:rFonts w:hint="eastAsia" w:ascii="Times New Roman"/>
          <w:kern w:val="0"/>
        </w:rPr>
        <w:t>区财政金融局各相关业务处要督促和指导各部门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的决算公开工作，并要对各部门的批复通知原件存档备查，各部门领取《决算批复通知》签收表复印一份送区财金局国库处存档，迎接省财政厅检查。各部门批复所属单位的批复通知原件要存档备查，所属单位领取《决算批复通知》签收表复印一份送区财政金融局各相关业务处备案；各部门决算公开情况须同时报送区财政金融局各相关业务处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hint="eastAsia" w:ascii="黑体" w:hAnsi="黑体" w:eastAsia="黑体" w:cs="黑体"/>
          <w:kern w:val="0"/>
          <w:lang w:val="en-US" w:eastAsia="zh-CN"/>
        </w:rPr>
        <w:t>3</w:t>
      </w:r>
      <w:r>
        <w:rPr>
          <w:rFonts w:ascii="黑体" w:hAnsi="黑体" w:eastAsia="黑体" w:cs="黑体"/>
          <w:kern w:val="0"/>
        </w:rPr>
        <w:t>.</w:t>
      </w:r>
      <w:r>
        <w:rPr>
          <w:rFonts w:hint="eastAsia" w:ascii="Times New Roman"/>
          <w:kern w:val="0"/>
        </w:rPr>
        <w:t>各</w:t>
      </w:r>
      <w:r>
        <w:rPr>
          <w:rFonts w:hint="eastAsia" w:ascii="Times New Roman"/>
          <w:kern w:val="0"/>
          <w:lang w:eastAsia="zh-CN"/>
        </w:rPr>
        <w:t>片区管理局</w:t>
      </w:r>
      <w:r>
        <w:rPr>
          <w:rFonts w:hint="eastAsia" w:ascii="Times New Roman"/>
          <w:kern w:val="0"/>
        </w:rPr>
        <w:t>的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年政府决算和部门决算公开工作由</w:t>
      </w:r>
      <w:r>
        <w:rPr>
          <w:rFonts w:hint="eastAsia" w:ascii="Times New Roman"/>
          <w:kern w:val="0"/>
          <w:lang w:eastAsia="zh-CN"/>
        </w:rPr>
        <w:t>片区管理局</w:t>
      </w:r>
      <w:r>
        <w:rPr>
          <w:rFonts w:hint="eastAsia" w:ascii="Times New Roman"/>
          <w:kern w:val="0"/>
        </w:rPr>
        <w:t>负责组织，按照《</w:t>
      </w:r>
      <w:r>
        <w:rPr>
          <w:rFonts w:hint="eastAsia" w:ascii="Times New Roman"/>
          <w:kern w:val="0"/>
          <w:lang w:eastAsia="zh-CN"/>
        </w:rPr>
        <w:t>关于进一步推进预算公开工作的实施意见</w:t>
      </w:r>
      <w:r>
        <w:rPr>
          <w:rFonts w:hint="eastAsia" w:ascii="Times New Roman"/>
          <w:kern w:val="0"/>
        </w:rPr>
        <w:t>》（闽</w:t>
      </w:r>
      <w:r>
        <w:rPr>
          <w:rFonts w:hint="eastAsia" w:ascii="Times New Roman"/>
          <w:kern w:val="0"/>
          <w:lang w:eastAsia="zh-CN"/>
        </w:rPr>
        <w:t>委办发</w:t>
      </w:r>
      <w:r>
        <w:rPr>
          <w:rFonts w:hint="eastAsia" w:ascii="Times New Roman"/>
        </w:rPr>
        <w:t>〔</w:t>
      </w:r>
      <w:r>
        <w:rPr>
          <w:rFonts w:ascii="Times New Roman" w:cs="Times New Roman"/>
        </w:rPr>
        <w:t>201</w:t>
      </w:r>
      <w:r>
        <w:rPr>
          <w:rFonts w:hint="eastAsia" w:ascii="Times New Roman" w:cs="Times New Roman"/>
          <w:lang w:val="en-US" w:eastAsia="zh-CN"/>
        </w:rPr>
        <w:t>6</w:t>
      </w:r>
      <w:r>
        <w:rPr>
          <w:rFonts w:hint="eastAsia" w:ascii="Times New Roman"/>
        </w:rPr>
        <w:t>〕</w:t>
      </w:r>
      <w:r>
        <w:rPr>
          <w:rFonts w:hint="eastAsia" w:ascii="Times New Roman"/>
          <w:lang w:val="en-US" w:eastAsia="zh-CN"/>
        </w:rPr>
        <w:t>22</w:t>
      </w:r>
      <w:r>
        <w:rPr>
          <w:rFonts w:hint="eastAsia" w:ascii="Times New Roman"/>
          <w:kern w:val="0"/>
        </w:rPr>
        <w:t>号）《福建省财政厅关于印发</w:t>
      </w:r>
      <w:r>
        <w:rPr>
          <w:rFonts w:ascii="Times New Roman" w:cs="Times New Roman"/>
          <w:kern w:val="0"/>
        </w:rPr>
        <w:t>&lt;</w:t>
      </w:r>
      <w:r>
        <w:rPr>
          <w:rFonts w:hint="eastAsia" w:ascii="Times New Roman"/>
          <w:kern w:val="0"/>
        </w:rPr>
        <w:t>福建省预决算公开操作规程</w:t>
      </w:r>
      <w:r>
        <w:rPr>
          <w:rFonts w:ascii="Times New Roman" w:cs="Times New Roman"/>
          <w:kern w:val="0"/>
        </w:rPr>
        <w:t>&gt;</w:t>
      </w:r>
      <w:r>
        <w:rPr>
          <w:rFonts w:hint="eastAsia" w:ascii="Times New Roman"/>
          <w:kern w:val="0"/>
        </w:rPr>
        <w:t>的通知》（闽财预</w:t>
      </w:r>
      <w:r>
        <w:rPr>
          <w:rFonts w:hint="eastAsia" w:ascii="Times New Roman"/>
        </w:rPr>
        <w:t>〔</w:t>
      </w:r>
      <w:r>
        <w:rPr>
          <w:rFonts w:ascii="Times New Roman" w:cs="Times New Roman"/>
        </w:rPr>
        <w:t>2017</w:t>
      </w:r>
      <w:r>
        <w:rPr>
          <w:rFonts w:hint="eastAsia" w:ascii="Times New Roman"/>
        </w:rPr>
        <w:t>〕</w:t>
      </w:r>
      <w:r>
        <w:rPr>
          <w:rFonts w:ascii="Times New Roman" w:cs="Times New Roman"/>
          <w:kern w:val="0"/>
        </w:rPr>
        <w:t xml:space="preserve">38 </w:t>
      </w:r>
      <w:r>
        <w:rPr>
          <w:rFonts w:hint="eastAsia" w:ascii="Times New Roman"/>
          <w:kern w:val="0"/>
        </w:rPr>
        <w:t>号）等相关文件的规定执行。</w:t>
      </w: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  <w:r>
        <w:rPr>
          <w:rFonts w:hint="eastAsia" w:ascii="Times New Roman"/>
          <w:kern w:val="0"/>
        </w:rPr>
        <w:t>附件：</w:t>
      </w:r>
      <w:r>
        <w:rPr>
          <w:rFonts w:ascii="Times New Roman" w:cs="Times New Roman"/>
          <w:kern w:val="0"/>
        </w:rPr>
        <w:t>1</w:t>
      </w:r>
      <w:r>
        <w:rPr>
          <w:rFonts w:hAnsi="Times"/>
          <w:kern w:val="0"/>
        </w:rPr>
        <w:t>.</w:t>
      </w:r>
      <w:r>
        <w:rPr>
          <w:rFonts w:hint="eastAsia" w:hAnsi="Times"/>
          <w:kern w:val="0"/>
        </w:rPr>
        <w:t>平潭综合实验财政金融局关于批复</w:t>
      </w:r>
      <w:bookmarkStart w:id="1" w:name="_Hlk15585583"/>
      <w:r>
        <w:rPr>
          <w:rFonts w:hint="eastAsia" w:ascii="Times New Roman"/>
          <w:sz w:val="44"/>
          <w:szCs w:val="44"/>
        </w:rPr>
        <w:t>××</w:t>
      </w:r>
      <w:bookmarkEnd w:id="1"/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年度部门决算的通知（财政部门批复文本）</w:t>
      </w:r>
    </w:p>
    <w:p>
      <w:pPr>
        <w:overflowPunct w:val="0"/>
        <w:spacing w:line="576" w:lineRule="exact"/>
        <w:ind w:firstLine="31680" w:firstLineChars="497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2</w:t>
      </w:r>
      <w:r>
        <w:rPr>
          <w:rFonts w:hAnsi="Times"/>
          <w:kern w:val="0"/>
        </w:rPr>
        <w:t>.</w:t>
      </w:r>
      <w:r>
        <w:rPr>
          <w:rFonts w:hint="eastAsia" w:ascii="Times New Roman"/>
          <w:kern w:val="0"/>
        </w:rPr>
        <w:t>区财政金融局批复各部门</w:t>
      </w:r>
      <w:r>
        <w:rPr>
          <w:rFonts w:ascii="Times New Roman" w:cs="Times New Roman"/>
          <w:kern w:val="0"/>
        </w:rPr>
        <w:t>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年度部门决算的批复文号</w:t>
      </w:r>
    </w:p>
    <w:p>
      <w:pPr>
        <w:overflowPunct w:val="0"/>
        <w:spacing w:line="576" w:lineRule="exact"/>
        <w:ind w:firstLine="31680" w:firstLineChars="497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3.201</w:t>
      </w:r>
      <w:r>
        <w:rPr>
          <w:rFonts w:hint="eastAsia" w:ascii="Times New Roman" w:cs="Times New Roman"/>
          <w:kern w:val="0"/>
          <w:lang w:val="en-US" w:eastAsia="zh-CN"/>
        </w:rPr>
        <w:t>9</w:t>
      </w:r>
      <w:r>
        <w:rPr>
          <w:rFonts w:hint="eastAsia" w:ascii="Times New Roman"/>
          <w:kern w:val="0"/>
        </w:rPr>
        <w:t>年度平潭</w:t>
      </w:r>
      <w:r>
        <w:rPr>
          <w:rFonts w:hint="eastAsia" w:ascii="Times New Roman"/>
          <w:sz w:val="44"/>
          <w:szCs w:val="44"/>
        </w:rPr>
        <w:t>××</w:t>
      </w:r>
      <w:r>
        <w:rPr>
          <w:rFonts w:hint="eastAsia" w:ascii="Times New Roman"/>
          <w:kern w:val="0"/>
        </w:rPr>
        <w:t>部门决算</w:t>
      </w:r>
      <w:r>
        <w:rPr>
          <w:rFonts w:ascii="Times New Roman" w:cs="Times New Roman"/>
          <w:kern w:val="0"/>
        </w:rPr>
        <w:t>(</w:t>
      </w:r>
      <w:r>
        <w:rPr>
          <w:rFonts w:hint="eastAsia" w:ascii="Times New Roman"/>
          <w:kern w:val="0"/>
        </w:rPr>
        <w:t>公开文本</w:t>
      </w:r>
      <w:r>
        <w:rPr>
          <w:rFonts w:ascii="Times New Roman" w:cs="Times New Roman"/>
          <w:kern w:val="0"/>
        </w:rPr>
        <w:t>)</w:t>
      </w:r>
    </w:p>
    <w:p>
      <w:pPr>
        <w:ind w:firstLine="31680" w:firstLineChars="499"/>
        <w:rPr>
          <w:rFonts w:ascii="Times New Roman" w:eastAsia="宋体" w:cs="Times New Roman"/>
          <w:sz w:val="21"/>
          <w:szCs w:val="21"/>
        </w:rPr>
      </w:pPr>
      <w:r>
        <w:rPr>
          <w:rFonts w:ascii="Times New Roman" w:cs="Times New Roman"/>
          <w:kern w:val="0"/>
        </w:rPr>
        <w:t>4</w:t>
      </w:r>
      <w:r>
        <w:rPr>
          <w:rFonts w:hAnsi="Times"/>
          <w:kern w:val="0"/>
        </w:rPr>
        <w:t>.</w:t>
      </w:r>
      <w:r>
        <w:rPr>
          <w:rFonts w:hint="eastAsia" w:ascii="宋体" w:hAnsi="宋体" w:eastAsia="宋体" w:cs="宋体"/>
          <w:kern w:val="0"/>
        </w:rPr>
        <w:t>省财政厅下发《部门预决算公开操作手册》文档（</w:t>
      </w:r>
      <w:r>
        <w:rPr>
          <w:rFonts w:ascii="宋体" w:hAnsi="宋体" w:eastAsia="宋体" w:cs="宋体"/>
          <w:kern w:val="0"/>
        </w:rPr>
        <w:t>2</w:t>
      </w:r>
      <w:r>
        <w:rPr>
          <w:rFonts w:hint="eastAsia" w:ascii="宋体" w:hAnsi="宋体" w:eastAsia="宋体" w:cs="宋体"/>
          <w:kern w:val="0"/>
        </w:rPr>
        <w:t>份）</w:t>
      </w:r>
    </w:p>
    <w:p>
      <w:pPr>
        <w:overflowPunct w:val="0"/>
        <w:spacing w:line="576" w:lineRule="exact"/>
        <w:rPr>
          <w:rFonts w:ascii="Times New Roman" w:cs="Times New Roman"/>
          <w:kern w:val="0"/>
        </w:rPr>
      </w:pP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</w:p>
    <w:p>
      <w:pPr>
        <w:overflowPunct w:val="0"/>
        <w:spacing w:line="576" w:lineRule="exact"/>
        <w:ind w:firstLine="31680" w:firstLineChars="200"/>
        <w:rPr>
          <w:rFonts w:ascii="Times New Roman" w:cs="Times New Roman"/>
          <w:kern w:val="0"/>
        </w:rPr>
      </w:pPr>
    </w:p>
    <w:p>
      <w:pPr>
        <w:spacing w:line="576" w:lineRule="exact"/>
        <w:ind w:right="31680" w:rightChars="200"/>
        <w:jc w:val="right"/>
        <w:rPr>
          <w:rFonts w:ascii="Times New Roman" w:cs="Times New Roman"/>
          <w:kern w:val="0"/>
        </w:rPr>
      </w:pPr>
      <w:r>
        <w:rPr>
          <w:rFonts w:hint="eastAsia" w:ascii="Times New Roman"/>
          <w:kern w:val="0"/>
        </w:rPr>
        <w:t>平潭综合实验区财政金融局</w:t>
      </w:r>
    </w:p>
    <w:p>
      <w:pPr>
        <w:spacing w:line="576" w:lineRule="exact"/>
        <w:ind w:right="31680" w:rightChars="400"/>
        <w:jc w:val="right"/>
        <w:rPr>
          <w:rFonts w:ascii="Times New Roman" w:cs="Times New Roman"/>
          <w:kern w:val="0"/>
        </w:rPr>
      </w:pPr>
      <w:r>
        <w:rPr>
          <w:rFonts w:ascii="Times New Roman" w:cs="Times New Roman"/>
          <w:kern w:val="0"/>
        </w:rPr>
        <w:t>20</w:t>
      </w:r>
      <w:r>
        <w:rPr>
          <w:rFonts w:hint="eastAsia" w:ascii="Times New Roman" w:cs="Times New Roman"/>
          <w:kern w:val="0"/>
          <w:lang w:val="en-US" w:eastAsia="zh-CN"/>
        </w:rPr>
        <w:t>20</w:t>
      </w:r>
      <w:r>
        <w:rPr>
          <w:rFonts w:hint="eastAsia" w:ascii="Times New Roman"/>
          <w:kern w:val="0"/>
        </w:rPr>
        <w:t>年</w:t>
      </w:r>
      <w:r>
        <w:rPr>
          <w:rFonts w:ascii="Times New Roman" w:cs="Times New Roman"/>
          <w:kern w:val="0"/>
        </w:rPr>
        <w:t>8</w:t>
      </w:r>
      <w:r>
        <w:rPr>
          <w:rFonts w:hint="eastAsia" w:ascii="Times New Roman"/>
          <w:kern w:val="0"/>
        </w:rPr>
        <w:t>月</w:t>
      </w:r>
      <w:r>
        <w:rPr>
          <w:rFonts w:hint="eastAsia" w:ascii="Times New Roman"/>
          <w:kern w:val="0"/>
          <w:lang w:val="en-US" w:eastAsia="zh-CN"/>
        </w:rPr>
        <w:t>3</w:t>
      </w:r>
      <w:r>
        <w:rPr>
          <w:rFonts w:hint="eastAsia" w:ascii="Times New Roman"/>
          <w:kern w:val="0"/>
        </w:rPr>
        <w:t>日</w:t>
      </w:r>
    </w:p>
    <w:p>
      <w:pPr>
        <w:spacing w:line="576" w:lineRule="exact"/>
        <w:rPr>
          <w:rFonts w:ascii="Times New Roman" w:cs="Times New Roman"/>
          <w:kern w:val="0"/>
        </w:rPr>
      </w:pPr>
    </w:p>
    <w:p>
      <w:pPr>
        <w:spacing w:line="576" w:lineRule="exact"/>
        <w:rPr>
          <w:rFonts w:ascii="Times New Roman" w:cs="Times New Roman"/>
          <w:kern w:val="0"/>
        </w:rPr>
      </w:pPr>
    </w:p>
    <w:p>
      <w:pPr>
        <w:widowControl/>
        <w:spacing w:line="560" w:lineRule="exact"/>
        <w:rPr>
          <w:rFonts w:ascii="Times New Roman" w:cs="Times New Roman"/>
          <w:kern w:val="0"/>
        </w:rPr>
      </w:pPr>
    </w:p>
    <w:p>
      <w:pPr>
        <w:widowControl/>
        <w:spacing w:line="400" w:lineRule="exact"/>
        <w:ind w:right="641"/>
        <w:rPr>
          <w:rFonts w:ascii="Times New Roman" w:cs="Times New Roman"/>
          <w:kern w:val="0"/>
          <w:sz w:val="28"/>
          <w:szCs w:val="28"/>
        </w:rPr>
      </w:pPr>
    </w:p>
    <w:tbl>
      <w:tblPr>
        <w:tblStyle w:val="16"/>
        <w:tblW w:w="9060" w:type="dxa"/>
        <w:tblInd w:w="-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9060" w:type="dxa"/>
            <w:tcBorders>
              <w:left w:val="nil"/>
              <w:right w:val="nil"/>
            </w:tcBorders>
          </w:tcPr>
          <w:p>
            <w:pPr>
              <w:spacing w:line="500" w:lineRule="exact"/>
              <w:ind w:firstLine="31680" w:firstLineChars="10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仿宋_GB2312"/>
                <w:sz w:val="28"/>
                <w:szCs w:val="28"/>
              </w:rPr>
              <w:t>信息公开类型：依申请公开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9060" w:type="dxa"/>
            <w:tcBorders>
              <w:left w:val="nil"/>
              <w:right w:val="nil"/>
            </w:tcBorders>
          </w:tcPr>
          <w:p>
            <w:pPr>
              <w:spacing w:line="500" w:lineRule="exact"/>
              <w:ind w:firstLine="31680" w:firstLineChars="100"/>
              <w:jc w:val="left"/>
              <w:rPr>
                <w:rFonts w:ascii="Times New Roman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/>
                <w:kern w:val="0"/>
                <w:sz w:val="28"/>
                <w:szCs w:val="28"/>
              </w:rPr>
              <w:t>平潭综合实验区财政金融局办公室</w:t>
            </w:r>
            <w:r>
              <w:rPr>
                <w:rFonts w:ascii="Times New Roman" w:cs="Times New Roman"/>
                <w:kern w:val="0"/>
                <w:sz w:val="28"/>
                <w:szCs w:val="28"/>
              </w:rPr>
              <w:t xml:space="preserve">          20</w:t>
            </w:r>
            <w:r>
              <w:rPr>
                <w:rFonts w:hint="eastAsia" w:ascii="Times New Roman" w:cs="Times New Roman"/>
                <w:kern w:val="0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cs="Times New Roman"/>
                <w:kern w:val="0"/>
                <w:sz w:val="28"/>
                <w:szCs w:val="28"/>
              </w:rPr>
              <w:t>8</w:t>
            </w:r>
            <w:r>
              <w:rPr>
                <w:rFonts w:hint="eastAsia" w:ascii="Times New Roman"/>
                <w:kern w:val="0"/>
                <w:sz w:val="28"/>
                <w:szCs w:val="28"/>
              </w:rPr>
              <w:t>月</w:t>
            </w:r>
            <w:r>
              <w:rPr>
                <w:rFonts w:hint="eastAsia" w:ascii="Times New Roman"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Times New Roman"/>
                <w:kern w:val="0"/>
                <w:sz w:val="28"/>
                <w:szCs w:val="28"/>
              </w:rPr>
              <w:t>日印发</w:t>
            </w:r>
          </w:p>
        </w:tc>
      </w:tr>
    </w:tbl>
    <w:p>
      <w:pPr>
        <w:widowControl/>
        <w:spacing w:line="400" w:lineRule="exact"/>
        <w:ind w:right="641"/>
        <w:rPr>
          <w:rFonts w:ascii="Times New Roman" w:cs="Times New Roman"/>
          <w:kern w:val="0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964" w:gutter="0"/>
      <w:pgNumType w:start="1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decorative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decorative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swiss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roman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roman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decorative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modern"/>
    <w:pitch w:val="default"/>
    <w:sig w:usb0="A00002EF" w:usb1="4000207B" w:usb2="00000000" w:usb3="00000000" w:csb0="2000009F" w:csb1="00000000"/>
  </w:font>
  <w:font w:name="Arial">
    <w:panose1 w:val="020B0604020202020204"/>
    <w:charset w:val="01"/>
    <w:family w:val="modern"/>
    <w:pitch w:val="default"/>
    <w:sig w:usb0="00007A87" w:usb1="80000000" w:usb2="00000008" w:usb3="00000000" w:csb0="400001FF" w:csb1="FFFF0000"/>
  </w:font>
  <w:font w:name="Courier New">
    <w:panose1 w:val="02070309020205020404"/>
    <w:charset w:val="01"/>
    <w:family w:val="roma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modern"/>
    <w:pitch w:val="default"/>
    <w:sig w:usb0="00007A87" w:usb1="80000000" w:usb2="00000008" w:usb3="00000000" w:csb0="400001FF" w:csb1="FFFF0000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Times">
    <w:altName w:val="CG Times"/>
    <w:panose1 w:val="02020603050405020304"/>
    <w:charset w:val="00"/>
    <w:family w:val="decorative"/>
    <w:pitch w:val="default"/>
    <w:sig w:usb0="00000000" w:usb1="00000000" w:usb2="00000000" w:usb3="00000000" w:csb0="000001FF" w:csb1="00000000"/>
  </w:font>
  <w:font w:name="CG Times">
    <w:panose1 w:val="02020603050405020304"/>
    <w:charset w:val="00"/>
    <w:family w:val="auto"/>
    <w:pitch w:val="default"/>
    <w:sig w:usb0="00000007" w:usb1="00000000" w:usb2="00000000" w:usb3="00000000" w:csb0="00000093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imes">
    <w:altName w:val="CG Times"/>
    <w:panose1 w:val="02020603050405020304"/>
    <w:charset w:val="00"/>
    <w:family w:val="roman"/>
    <w:pitch w:val="default"/>
    <w:sig w:usb0="00000000" w:usb1="00000000" w:usb2="00000000" w:usb3="00000000" w:csb0="000001FF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decorative"/>
    <w:pitch w:val="default"/>
    <w:sig w:usb0="00007A87" w:usb1="80000000" w:usb2="00000008" w:usb3="00000000" w:csb0="400001FF" w:csb1="FFFF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Times">
    <w:altName w:val="CG Times"/>
    <w:panose1 w:val="02020603050405020304"/>
    <w:charset w:val="00"/>
    <w:family w:val="modern"/>
    <w:pitch w:val="default"/>
    <w:sig w:usb0="00000000" w:usb1="00000000" w:usb2="00000000" w:usb3="00000000" w:csb0="000001FF" w:csb1="00000000"/>
  </w:font>
  <w:font w:name="仿宋_GB2312">
    <w:panose1 w:val="02010609030101010101"/>
    <w:charset w:val="86"/>
    <w:family w:val="decorative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roman"/>
    <w:pitch w:val="default"/>
    <w:sig w:usb0="00007A87" w:usb1="80000000" w:usb2="00000008" w:usb3="00000000" w:csb0="400001FF" w:csb1="FFFF0000"/>
  </w:font>
  <w:font w:name="楷体_GB2312">
    <w:panose1 w:val="02010609030101010101"/>
    <w:charset w:val="86"/>
    <w:family w:val="decorative"/>
    <w:pitch w:val="default"/>
    <w:sig w:usb0="00000001" w:usb1="080E0000" w:usb2="00000000" w:usb3="00000000" w:csb0="00040000" w:csb1="00000000"/>
  </w:font>
  <w:font w:name="Times">
    <w:altName w:val="CG Times"/>
    <w:panose1 w:val="02020603050405020304"/>
    <w:charset w:val="00"/>
    <w:family w:val="swiss"/>
    <w:pitch w:val="default"/>
    <w:sig w:usb0="00000000" w:usb1="00000000" w:usb2="00000000" w:usb3="00000000" w:csb0="0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黑体">
    <w:panose1 w:val="02010600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MS Mincho">
    <w:altName w:val="MS UI Gothic"/>
    <w:panose1 w:val="02020609040205080304"/>
    <w:charset w:val="80"/>
    <w:family w:val="swiss"/>
    <w:pitch w:val="default"/>
    <w:sig w:usb0="00000000" w:usb1="00000000" w:usb2="00000012" w:usb3="00000000" w:csb0="0002009F" w:csb1="00000000"/>
  </w:font>
  <w:font w:name="MS UI Gothic">
    <w:panose1 w:val="020B0600070205080204"/>
    <w:charset w:val="80"/>
    <w:family w:val="auto"/>
    <w:pitch w:val="default"/>
    <w:sig w:usb0="A00002BF" w:usb1="68C7FCFB" w:usb2="00000010" w:usb3="00000000" w:csb0="4002009F" w:csb1="DFD70000"/>
  </w:font>
  <w:font w:name="MS UI Gothic">
    <w:panose1 w:val="020B0600070205080204"/>
    <w:charset w:val="80"/>
    <w:family w:val="swiss"/>
    <w:pitch w:val="default"/>
    <w:sig w:usb0="A00002BF" w:usb1="68C7FCFB" w:usb2="00000010" w:usb3="00000000" w:csb0="4002009F" w:csb1="DFD70000"/>
  </w:font>
  <w:font w:name="黑体">
    <w:panose1 w:val="02010600030101010101"/>
    <w:charset w:val="86"/>
    <w:family w:val="decorative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MS Mincho">
    <w:altName w:val="MS UI Gothic"/>
    <w:panose1 w:val="02020609040205080304"/>
    <w:charset w:val="80"/>
    <w:family w:val="decorative"/>
    <w:pitch w:val="default"/>
    <w:sig w:usb0="00000000" w:usb1="00000000" w:usb2="00000012" w:usb3="00000000" w:csb0="0002009F" w:csb1="00000000"/>
  </w:font>
  <w:font w:name="MS UI Gothic">
    <w:panose1 w:val="020B0600070205080204"/>
    <w:charset w:val="80"/>
    <w:family w:val="decorative"/>
    <w:pitch w:val="default"/>
    <w:sig w:usb0="A00002BF" w:usb1="68C7FCFB" w:usb2="00000010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黑体">
    <w:panose1 w:val="02010600030101010101"/>
    <w:charset w:val="86"/>
    <w:family w:val="roma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MS Mincho">
    <w:altName w:val="MS UI Gothic"/>
    <w:panose1 w:val="02020609040205080304"/>
    <w:charset w:val="80"/>
    <w:family w:val="roman"/>
    <w:pitch w:val="default"/>
    <w:sig w:usb0="00000000" w:usb1="00000000" w:usb2="00000012" w:usb3="00000000" w:csb0="0002009F" w:csb1="00000000"/>
  </w:font>
  <w:font w:name="MS UI Gothic">
    <w:panose1 w:val="020B0600070205080204"/>
    <w:charset w:val="80"/>
    <w:family w:val="roman"/>
    <w:pitch w:val="default"/>
    <w:sig w:usb0="A00002BF" w:usb1="68C7FCFB" w:usb2="00000010" w:usb3="00000000" w:csb0="4002009F" w:csb1="DFD70000"/>
  </w:font>
  <w:font w:name="黑体">
    <w:panose1 w:val="02010600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MS UI Gothic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MS UI Gothic">
    <w:panose1 w:val="020B0600070205080204"/>
    <w:charset w:val="80"/>
    <w:family w:val="modern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8"/>
      <w:jc w:val="right"/>
      <w:rPr>
        <w:rFonts w:ascii="Cambria" w:hAnsi="Cambria" w:cs="Cambria"/>
        <w:sz w:val="28"/>
        <w:szCs w:val="28"/>
      </w:rPr>
    </w:pPr>
    <w:r>
      <w:rPr>
        <w:rFonts w:ascii="宋体" w:hAnsi="宋体" w:eastAsia="宋体" w:cs="宋体"/>
        <w:sz w:val="28"/>
        <w:szCs w:val="28"/>
        <w:lang w:val="zh-CN"/>
      </w:rPr>
      <w:t xml:space="preserve">— </w:t>
    </w:r>
    <w:r>
      <w:rPr>
        <w:rFonts w:ascii="宋体" w:hAnsi="宋体" w:eastAsia="宋体" w:cs="宋体"/>
        <w:sz w:val="28"/>
        <w:szCs w:val="28"/>
      </w:rPr>
      <w:fldChar w:fldCharType="begin"/>
    </w:r>
    <w:r>
      <w:rPr>
        <w:rFonts w:ascii="宋体" w:hAnsi="宋体" w:eastAsia="宋体" w:cs="宋体"/>
        <w:sz w:val="28"/>
        <w:szCs w:val="28"/>
      </w:rPr>
      <w:instrText xml:space="preserve"> PAGE    \* MERGEFORMAT </w:instrText>
    </w:r>
    <w:r>
      <w:rPr>
        <w:rFonts w:ascii="宋体" w:hAnsi="宋体" w:eastAsia="宋体" w:cs="宋体"/>
        <w:sz w:val="28"/>
        <w:szCs w:val="28"/>
      </w:rPr>
      <w:fldChar w:fldCharType="separate"/>
    </w:r>
    <w:r>
      <w:rPr>
        <w:rFonts w:ascii="宋体" w:hAnsi="宋体" w:eastAsia="宋体" w:cs="宋体"/>
        <w:sz w:val="28"/>
        <w:szCs w:val="28"/>
        <w:lang w:val="zh-CN"/>
      </w:rPr>
      <w:t>5</w:t>
    </w:r>
    <w:r>
      <w:rPr>
        <w:rFonts w:ascii="宋体" w:hAnsi="宋体" w:eastAsia="宋体" w:cs="宋体"/>
        <w:sz w:val="28"/>
        <w:szCs w:val="28"/>
      </w:rPr>
      <w:fldChar w:fldCharType="end"/>
    </w:r>
    <w:r>
      <w:rPr>
        <w:rFonts w:ascii="宋体" w:hAnsi="宋体" w:eastAsia="宋体" w:cs="宋体"/>
        <w:sz w:val="28"/>
        <w:szCs w:val="28"/>
        <w:lang w:val="zh-CN"/>
      </w:rPr>
      <w:t>—</w:t>
    </w:r>
  </w:p>
  <w:p>
    <w:pPr>
      <w:pStyle w:val="8"/>
      <w:wordWrap w:val="0"/>
      <w:ind w:right="31680" w:rightChars="100"/>
      <w:jc w:val="both"/>
      <w:rPr>
        <w:rFonts w:ascii="宋体" w:hAnsi="宋体" w:eastAsia="宋体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8"/>
      <w:rPr>
        <w:rFonts w:cs="Times New Roman"/>
      </w:rPr>
    </w:pPr>
    <w:r>
      <w:rPr>
        <w:rFonts w:ascii="宋体" w:hAnsi="宋体" w:eastAsia="宋体" w:cs="宋体"/>
        <w:sz w:val="28"/>
        <w:szCs w:val="28"/>
        <w:lang w:val="zh-CN"/>
      </w:rPr>
      <w:t xml:space="preserve">— </w:t>
    </w:r>
    <w:r>
      <w:rPr>
        <w:rFonts w:ascii="宋体" w:hAnsi="宋体" w:eastAsia="宋体" w:cs="宋体"/>
        <w:sz w:val="28"/>
        <w:szCs w:val="28"/>
      </w:rPr>
      <w:fldChar w:fldCharType="begin"/>
    </w:r>
    <w:r>
      <w:rPr>
        <w:rFonts w:ascii="宋体" w:hAnsi="宋体" w:eastAsia="宋体" w:cs="宋体"/>
        <w:sz w:val="28"/>
        <w:szCs w:val="28"/>
      </w:rPr>
      <w:instrText xml:space="preserve"> PAGE    \* MERGEFORMAT </w:instrText>
    </w:r>
    <w:r>
      <w:rPr>
        <w:rFonts w:ascii="宋体" w:hAnsi="宋体" w:eastAsia="宋体" w:cs="宋体"/>
        <w:sz w:val="28"/>
        <w:szCs w:val="28"/>
      </w:rPr>
      <w:fldChar w:fldCharType="separate"/>
    </w:r>
    <w:r>
      <w:rPr>
        <w:rFonts w:ascii="宋体" w:hAnsi="宋体" w:eastAsia="宋体" w:cs="宋体"/>
        <w:sz w:val="28"/>
        <w:szCs w:val="28"/>
        <w:lang w:val="zh-CN"/>
      </w:rPr>
      <w:t>6</w:t>
    </w:r>
    <w:r>
      <w:rPr>
        <w:rFonts w:ascii="宋体" w:hAnsi="宋体" w:eastAsia="宋体" w:cs="宋体"/>
        <w:sz w:val="28"/>
        <w:szCs w:val="28"/>
      </w:rPr>
      <w:fldChar w:fldCharType="end"/>
    </w:r>
    <w:r>
      <w:rPr>
        <w:rFonts w:ascii="宋体" w:hAnsi="宋体" w:eastAsia="宋体" w:cs="宋体"/>
        <w:sz w:val="28"/>
        <w:szCs w:val="28"/>
        <w:lang w:val="zh-CN"/>
      </w:rPr>
      <w:t>—</w:t>
    </w:r>
  </w:p>
  <w:p>
    <w:pPr>
      <w:pStyle w:val="8"/>
      <w:ind w:left="31680" w:leftChars="100"/>
      <w:rPr>
        <w:rFonts w:ascii="宋体" w:eastAsia="宋体" w:cs="Times New Roman"/>
        <w:sz w:val="28"/>
        <w:szCs w:val="2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95293178">
    <w:nsid w:val="5F163DFA"/>
    <w:multiLevelType w:val="singleLevel"/>
    <w:tmpl w:val="5F163DFA"/>
    <w:lvl w:ilvl="0" w:tentative="1">
      <w:start w:val="1"/>
      <w:numFmt w:val="chineseCounting"/>
      <w:suff w:val="nothing"/>
      <w:lvlText w:val="%1、"/>
      <w:lvlJc w:val="left"/>
    </w:lvl>
  </w:abstractNum>
  <w:num w:numId="1">
    <w:abstractNumId w:val="1595293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oNotHyphenateCaps/>
  <w:evenAndOddHeaders w:val="1"/>
  <w:drawingGridHorizontalSpacing w:val="158"/>
  <w:drawingGridVerticalSpacing w:val="579"/>
  <w:displayHorizont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0B8C"/>
    <w:rsid w:val="00001917"/>
    <w:rsid w:val="00002564"/>
    <w:rsid w:val="00002E05"/>
    <w:rsid w:val="00006DBF"/>
    <w:rsid w:val="00011FDD"/>
    <w:rsid w:val="0002449F"/>
    <w:rsid w:val="0002461D"/>
    <w:rsid w:val="000260FB"/>
    <w:rsid w:val="00055135"/>
    <w:rsid w:val="00061BB2"/>
    <w:rsid w:val="00075CC3"/>
    <w:rsid w:val="000777F1"/>
    <w:rsid w:val="00084131"/>
    <w:rsid w:val="00085678"/>
    <w:rsid w:val="000949CD"/>
    <w:rsid w:val="00097A20"/>
    <w:rsid w:val="000B40A9"/>
    <w:rsid w:val="000C1373"/>
    <w:rsid w:val="000C28DF"/>
    <w:rsid w:val="000C2B09"/>
    <w:rsid w:val="000C3B17"/>
    <w:rsid w:val="000C482B"/>
    <w:rsid w:val="000C717A"/>
    <w:rsid w:val="000C7CD7"/>
    <w:rsid w:val="000D3BF4"/>
    <w:rsid w:val="000D7808"/>
    <w:rsid w:val="000E114D"/>
    <w:rsid w:val="000E54CC"/>
    <w:rsid w:val="000F3347"/>
    <w:rsid w:val="001002D5"/>
    <w:rsid w:val="00104A6B"/>
    <w:rsid w:val="00113DDF"/>
    <w:rsid w:val="00116611"/>
    <w:rsid w:val="0011670C"/>
    <w:rsid w:val="001230A0"/>
    <w:rsid w:val="00130B1A"/>
    <w:rsid w:val="00145654"/>
    <w:rsid w:val="0016245F"/>
    <w:rsid w:val="001627DE"/>
    <w:rsid w:val="0016399E"/>
    <w:rsid w:val="00164057"/>
    <w:rsid w:val="00164084"/>
    <w:rsid w:val="0016586C"/>
    <w:rsid w:val="00167318"/>
    <w:rsid w:val="001725B9"/>
    <w:rsid w:val="00181C24"/>
    <w:rsid w:val="00185C6F"/>
    <w:rsid w:val="001A0A34"/>
    <w:rsid w:val="001A0DA0"/>
    <w:rsid w:val="001A4DAF"/>
    <w:rsid w:val="001A7D2C"/>
    <w:rsid w:val="001B1131"/>
    <w:rsid w:val="001B1611"/>
    <w:rsid w:val="001B1990"/>
    <w:rsid w:val="001C2724"/>
    <w:rsid w:val="001C75F1"/>
    <w:rsid w:val="001D1955"/>
    <w:rsid w:val="001D2BE5"/>
    <w:rsid w:val="001D3907"/>
    <w:rsid w:val="001D7126"/>
    <w:rsid w:val="001E6C09"/>
    <w:rsid w:val="001E6FB7"/>
    <w:rsid w:val="001F4CEE"/>
    <w:rsid w:val="001F521D"/>
    <w:rsid w:val="001F6BA9"/>
    <w:rsid w:val="00213B86"/>
    <w:rsid w:val="00213CDD"/>
    <w:rsid w:val="00216133"/>
    <w:rsid w:val="00221A8E"/>
    <w:rsid w:val="00232500"/>
    <w:rsid w:val="00236CDC"/>
    <w:rsid w:val="00237E96"/>
    <w:rsid w:val="00242C4B"/>
    <w:rsid w:val="0024424A"/>
    <w:rsid w:val="00244559"/>
    <w:rsid w:val="002559F1"/>
    <w:rsid w:val="00262CE5"/>
    <w:rsid w:val="00264EA5"/>
    <w:rsid w:val="00271053"/>
    <w:rsid w:val="00271CC4"/>
    <w:rsid w:val="00274742"/>
    <w:rsid w:val="002801FE"/>
    <w:rsid w:val="00282DE5"/>
    <w:rsid w:val="00291148"/>
    <w:rsid w:val="00291F0B"/>
    <w:rsid w:val="00294CAB"/>
    <w:rsid w:val="00296B62"/>
    <w:rsid w:val="002A1B97"/>
    <w:rsid w:val="002A2E5F"/>
    <w:rsid w:val="002B1667"/>
    <w:rsid w:val="002B4CFA"/>
    <w:rsid w:val="002C11B6"/>
    <w:rsid w:val="002C11C7"/>
    <w:rsid w:val="002C2C49"/>
    <w:rsid w:val="002D320B"/>
    <w:rsid w:val="002D717A"/>
    <w:rsid w:val="002E4720"/>
    <w:rsid w:val="002E4A50"/>
    <w:rsid w:val="002E5B3E"/>
    <w:rsid w:val="002F4AD9"/>
    <w:rsid w:val="002F6FAE"/>
    <w:rsid w:val="00306FBF"/>
    <w:rsid w:val="00322B98"/>
    <w:rsid w:val="00323182"/>
    <w:rsid w:val="00325376"/>
    <w:rsid w:val="003264A5"/>
    <w:rsid w:val="003378D6"/>
    <w:rsid w:val="003433F3"/>
    <w:rsid w:val="003537A9"/>
    <w:rsid w:val="00354180"/>
    <w:rsid w:val="00354B3D"/>
    <w:rsid w:val="00357FA2"/>
    <w:rsid w:val="003633D9"/>
    <w:rsid w:val="00364C83"/>
    <w:rsid w:val="00365C69"/>
    <w:rsid w:val="00367A11"/>
    <w:rsid w:val="00370C4A"/>
    <w:rsid w:val="003722A4"/>
    <w:rsid w:val="00375F2C"/>
    <w:rsid w:val="003826B0"/>
    <w:rsid w:val="00384019"/>
    <w:rsid w:val="003854C6"/>
    <w:rsid w:val="0038686A"/>
    <w:rsid w:val="00390263"/>
    <w:rsid w:val="00393003"/>
    <w:rsid w:val="003952CE"/>
    <w:rsid w:val="003A3237"/>
    <w:rsid w:val="003B1994"/>
    <w:rsid w:val="003B29F6"/>
    <w:rsid w:val="003B3459"/>
    <w:rsid w:val="003B3AF1"/>
    <w:rsid w:val="003B5689"/>
    <w:rsid w:val="003B7658"/>
    <w:rsid w:val="003C0C4F"/>
    <w:rsid w:val="003D0835"/>
    <w:rsid w:val="003E1672"/>
    <w:rsid w:val="003E3348"/>
    <w:rsid w:val="003E607D"/>
    <w:rsid w:val="003F0677"/>
    <w:rsid w:val="003F4C3C"/>
    <w:rsid w:val="003F7658"/>
    <w:rsid w:val="004075D5"/>
    <w:rsid w:val="00411101"/>
    <w:rsid w:val="0041636A"/>
    <w:rsid w:val="004244A3"/>
    <w:rsid w:val="00441377"/>
    <w:rsid w:val="004448A6"/>
    <w:rsid w:val="00451E2E"/>
    <w:rsid w:val="004533D3"/>
    <w:rsid w:val="0045681D"/>
    <w:rsid w:val="004628A0"/>
    <w:rsid w:val="00462C58"/>
    <w:rsid w:val="00462E25"/>
    <w:rsid w:val="0046306E"/>
    <w:rsid w:val="00465E26"/>
    <w:rsid w:val="00474474"/>
    <w:rsid w:val="00483BFF"/>
    <w:rsid w:val="004A0973"/>
    <w:rsid w:val="004A6018"/>
    <w:rsid w:val="004B18D3"/>
    <w:rsid w:val="004C0726"/>
    <w:rsid w:val="004C4B5A"/>
    <w:rsid w:val="004D1F48"/>
    <w:rsid w:val="004D223E"/>
    <w:rsid w:val="004E04D8"/>
    <w:rsid w:val="004F4789"/>
    <w:rsid w:val="004F6A80"/>
    <w:rsid w:val="00500DC9"/>
    <w:rsid w:val="00502140"/>
    <w:rsid w:val="0050372F"/>
    <w:rsid w:val="00503986"/>
    <w:rsid w:val="00507ECD"/>
    <w:rsid w:val="00511E22"/>
    <w:rsid w:val="00512784"/>
    <w:rsid w:val="00514266"/>
    <w:rsid w:val="0051627C"/>
    <w:rsid w:val="00522518"/>
    <w:rsid w:val="00537166"/>
    <w:rsid w:val="00537A72"/>
    <w:rsid w:val="0054165F"/>
    <w:rsid w:val="00543457"/>
    <w:rsid w:val="00551EA7"/>
    <w:rsid w:val="00553635"/>
    <w:rsid w:val="00555C5C"/>
    <w:rsid w:val="005572AF"/>
    <w:rsid w:val="00557493"/>
    <w:rsid w:val="00560AC8"/>
    <w:rsid w:val="00577AED"/>
    <w:rsid w:val="00577B68"/>
    <w:rsid w:val="00591E92"/>
    <w:rsid w:val="005A299D"/>
    <w:rsid w:val="005B12FA"/>
    <w:rsid w:val="005B61CA"/>
    <w:rsid w:val="005C05BD"/>
    <w:rsid w:val="005C2F0B"/>
    <w:rsid w:val="005E231E"/>
    <w:rsid w:val="005E242F"/>
    <w:rsid w:val="005F23A2"/>
    <w:rsid w:val="005F39EA"/>
    <w:rsid w:val="005F6641"/>
    <w:rsid w:val="005F6EB2"/>
    <w:rsid w:val="0060056F"/>
    <w:rsid w:val="0061254E"/>
    <w:rsid w:val="006134D6"/>
    <w:rsid w:val="0061445C"/>
    <w:rsid w:val="0061631A"/>
    <w:rsid w:val="00620F9F"/>
    <w:rsid w:val="006236BC"/>
    <w:rsid w:val="00625397"/>
    <w:rsid w:val="006308C3"/>
    <w:rsid w:val="00635A43"/>
    <w:rsid w:val="00636721"/>
    <w:rsid w:val="00646081"/>
    <w:rsid w:val="00646E0E"/>
    <w:rsid w:val="00647660"/>
    <w:rsid w:val="00657D74"/>
    <w:rsid w:val="0067129D"/>
    <w:rsid w:val="00675A10"/>
    <w:rsid w:val="00676EC6"/>
    <w:rsid w:val="00683DB3"/>
    <w:rsid w:val="0068433F"/>
    <w:rsid w:val="00684932"/>
    <w:rsid w:val="00685709"/>
    <w:rsid w:val="00686FC8"/>
    <w:rsid w:val="006A0889"/>
    <w:rsid w:val="006A2E41"/>
    <w:rsid w:val="006A7020"/>
    <w:rsid w:val="006B2D57"/>
    <w:rsid w:val="006B35F1"/>
    <w:rsid w:val="006B56BD"/>
    <w:rsid w:val="006B7DFE"/>
    <w:rsid w:val="006C24F7"/>
    <w:rsid w:val="006D290D"/>
    <w:rsid w:val="006D382A"/>
    <w:rsid w:val="006D682B"/>
    <w:rsid w:val="00700D5C"/>
    <w:rsid w:val="007012B5"/>
    <w:rsid w:val="00703585"/>
    <w:rsid w:val="007041E2"/>
    <w:rsid w:val="007052DB"/>
    <w:rsid w:val="007338D7"/>
    <w:rsid w:val="007411E2"/>
    <w:rsid w:val="0074407F"/>
    <w:rsid w:val="00744088"/>
    <w:rsid w:val="007443DE"/>
    <w:rsid w:val="00755145"/>
    <w:rsid w:val="00761961"/>
    <w:rsid w:val="00763112"/>
    <w:rsid w:val="00763883"/>
    <w:rsid w:val="00772E5E"/>
    <w:rsid w:val="007769F5"/>
    <w:rsid w:val="00791D54"/>
    <w:rsid w:val="007A30C2"/>
    <w:rsid w:val="007A7714"/>
    <w:rsid w:val="007B1641"/>
    <w:rsid w:val="007B33AA"/>
    <w:rsid w:val="007C42B8"/>
    <w:rsid w:val="007C71FC"/>
    <w:rsid w:val="007D0259"/>
    <w:rsid w:val="007D076C"/>
    <w:rsid w:val="007D37D3"/>
    <w:rsid w:val="007D43C0"/>
    <w:rsid w:val="007D58C2"/>
    <w:rsid w:val="007D6DF9"/>
    <w:rsid w:val="007F0DB0"/>
    <w:rsid w:val="007F1349"/>
    <w:rsid w:val="007F1B45"/>
    <w:rsid w:val="00801349"/>
    <w:rsid w:val="00801BBE"/>
    <w:rsid w:val="00807C4B"/>
    <w:rsid w:val="00821EAD"/>
    <w:rsid w:val="00822A5B"/>
    <w:rsid w:val="00823CA3"/>
    <w:rsid w:val="00824EED"/>
    <w:rsid w:val="00825158"/>
    <w:rsid w:val="008315BE"/>
    <w:rsid w:val="0083425D"/>
    <w:rsid w:val="008371B5"/>
    <w:rsid w:val="008401C3"/>
    <w:rsid w:val="0084084F"/>
    <w:rsid w:val="008455A7"/>
    <w:rsid w:val="00846FE2"/>
    <w:rsid w:val="00847F98"/>
    <w:rsid w:val="008554CD"/>
    <w:rsid w:val="008633DC"/>
    <w:rsid w:val="00864437"/>
    <w:rsid w:val="0086551D"/>
    <w:rsid w:val="008718D2"/>
    <w:rsid w:val="008736B5"/>
    <w:rsid w:val="00874322"/>
    <w:rsid w:val="0088306C"/>
    <w:rsid w:val="0088365D"/>
    <w:rsid w:val="00885D38"/>
    <w:rsid w:val="008A0FDD"/>
    <w:rsid w:val="008A23E0"/>
    <w:rsid w:val="008B789F"/>
    <w:rsid w:val="008C113B"/>
    <w:rsid w:val="008C56B0"/>
    <w:rsid w:val="008D4F9F"/>
    <w:rsid w:val="008D51B9"/>
    <w:rsid w:val="008E1901"/>
    <w:rsid w:val="008F1F3C"/>
    <w:rsid w:val="008F79A3"/>
    <w:rsid w:val="0090624F"/>
    <w:rsid w:val="0091106B"/>
    <w:rsid w:val="009242CB"/>
    <w:rsid w:val="009310E0"/>
    <w:rsid w:val="00932262"/>
    <w:rsid w:val="00934E51"/>
    <w:rsid w:val="009355AC"/>
    <w:rsid w:val="00935D7C"/>
    <w:rsid w:val="00945635"/>
    <w:rsid w:val="00946AC7"/>
    <w:rsid w:val="00965F5B"/>
    <w:rsid w:val="00970962"/>
    <w:rsid w:val="0097165E"/>
    <w:rsid w:val="009720B5"/>
    <w:rsid w:val="009725A1"/>
    <w:rsid w:val="009860A4"/>
    <w:rsid w:val="00987C8F"/>
    <w:rsid w:val="00994441"/>
    <w:rsid w:val="009A5BA3"/>
    <w:rsid w:val="009B7272"/>
    <w:rsid w:val="009C0321"/>
    <w:rsid w:val="009C563F"/>
    <w:rsid w:val="009D0D16"/>
    <w:rsid w:val="009D0ECE"/>
    <w:rsid w:val="009D1FC7"/>
    <w:rsid w:val="009E5F40"/>
    <w:rsid w:val="009F19D2"/>
    <w:rsid w:val="009F2B9E"/>
    <w:rsid w:val="00A057BC"/>
    <w:rsid w:val="00A13EAB"/>
    <w:rsid w:val="00A1777F"/>
    <w:rsid w:val="00A20881"/>
    <w:rsid w:val="00A2497E"/>
    <w:rsid w:val="00A27F4B"/>
    <w:rsid w:val="00A32A8A"/>
    <w:rsid w:val="00A4053B"/>
    <w:rsid w:val="00A42856"/>
    <w:rsid w:val="00A473D9"/>
    <w:rsid w:val="00A52B95"/>
    <w:rsid w:val="00A60B06"/>
    <w:rsid w:val="00A72ADD"/>
    <w:rsid w:val="00A730A1"/>
    <w:rsid w:val="00A771D1"/>
    <w:rsid w:val="00A827AC"/>
    <w:rsid w:val="00A90F24"/>
    <w:rsid w:val="00A9663E"/>
    <w:rsid w:val="00A977B5"/>
    <w:rsid w:val="00AC03F1"/>
    <w:rsid w:val="00AC4697"/>
    <w:rsid w:val="00AD116A"/>
    <w:rsid w:val="00AD389D"/>
    <w:rsid w:val="00AE3E43"/>
    <w:rsid w:val="00AE69F1"/>
    <w:rsid w:val="00AF4C31"/>
    <w:rsid w:val="00B12391"/>
    <w:rsid w:val="00B14CAB"/>
    <w:rsid w:val="00B14CDA"/>
    <w:rsid w:val="00B20F52"/>
    <w:rsid w:val="00B2532D"/>
    <w:rsid w:val="00B26C91"/>
    <w:rsid w:val="00B2742A"/>
    <w:rsid w:val="00B30701"/>
    <w:rsid w:val="00B414D4"/>
    <w:rsid w:val="00B51FE3"/>
    <w:rsid w:val="00B655EE"/>
    <w:rsid w:val="00B65606"/>
    <w:rsid w:val="00B660A5"/>
    <w:rsid w:val="00B667E8"/>
    <w:rsid w:val="00B7072E"/>
    <w:rsid w:val="00B71C04"/>
    <w:rsid w:val="00B724E2"/>
    <w:rsid w:val="00B95D48"/>
    <w:rsid w:val="00BB021B"/>
    <w:rsid w:val="00BB1DA1"/>
    <w:rsid w:val="00BB3760"/>
    <w:rsid w:val="00BC0200"/>
    <w:rsid w:val="00BC328C"/>
    <w:rsid w:val="00BD0BEC"/>
    <w:rsid w:val="00BD43F1"/>
    <w:rsid w:val="00BD64A4"/>
    <w:rsid w:val="00BF15DA"/>
    <w:rsid w:val="00BF47B5"/>
    <w:rsid w:val="00BF7181"/>
    <w:rsid w:val="00C01EF9"/>
    <w:rsid w:val="00C0775B"/>
    <w:rsid w:val="00C07930"/>
    <w:rsid w:val="00C14898"/>
    <w:rsid w:val="00C16ED2"/>
    <w:rsid w:val="00C200E2"/>
    <w:rsid w:val="00C31787"/>
    <w:rsid w:val="00C55AAC"/>
    <w:rsid w:val="00C61E2D"/>
    <w:rsid w:val="00C6798C"/>
    <w:rsid w:val="00C80742"/>
    <w:rsid w:val="00C9500E"/>
    <w:rsid w:val="00C96642"/>
    <w:rsid w:val="00CA4C36"/>
    <w:rsid w:val="00CA4F44"/>
    <w:rsid w:val="00CC1CEB"/>
    <w:rsid w:val="00CE22BF"/>
    <w:rsid w:val="00CE3639"/>
    <w:rsid w:val="00CE3931"/>
    <w:rsid w:val="00CF21CA"/>
    <w:rsid w:val="00CF7C8D"/>
    <w:rsid w:val="00D011E3"/>
    <w:rsid w:val="00D03135"/>
    <w:rsid w:val="00D04A1F"/>
    <w:rsid w:val="00D1040C"/>
    <w:rsid w:val="00D118D2"/>
    <w:rsid w:val="00D11C00"/>
    <w:rsid w:val="00D16D94"/>
    <w:rsid w:val="00D2172F"/>
    <w:rsid w:val="00D25AE4"/>
    <w:rsid w:val="00D27F1C"/>
    <w:rsid w:val="00D36826"/>
    <w:rsid w:val="00D44352"/>
    <w:rsid w:val="00D53D87"/>
    <w:rsid w:val="00D56638"/>
    <w:rsid w:val="00D60526"/>
    <w:rsid w:val="00D613F2"/>
    <w:rsid w:val="00D636D6"/>
    <w:rsid w:val="00D70D93"/>
    <w:rsid w:val="00D74A5A"/>
    <w:rsid w:val="00D756B3"/>
    <w:rsid w:val="00D80B65"/>
    <w:rsid w:val="00D87405"/>
    <w:rsid w:val="00D969DA"/>
    <w:rsid w:val="00DB1365"/>
    <w:rsid w:val="00DB15A7"/>
    <w:rsid w:val="00DB2E37"/>
    <w:rsid w:val="00DB5961"/>
    <w:rsid w:val="00DB7A6E"/>
    <w:rsid w:val="00DC1EBF"/>
    <w:rsid w:val="00DD2E4B"/>
    <w:rsid w:val="00DD546F"/>
    <w:rsid w:val="00DD5925"/>
    <w:rsid w:val="00DD6BC2"/>
    <w:rsid w:val="00DD7CED"/>
    <w:rsid w:val="00DF050A"/>
    <w:rsid w:val="00DF12D2"/>
    <w:rsid w:val="00E005CD"/>
    <w:rsid w:val="00E01589"/>
    <w:rsid w:val="00E066FB"/>
    <w:rsid w:val="00E0735F"/>
    <w:rsid w:val="00E10C2C"/>
    <w:rsid w:val="00E11865"/>
    <w:rsid w:val="00E15375"/>
    <w:rsid w:val="00E22720"/>
    <w:rsid w:val="00E24481"/>
    <w:rsid w:val="00E30EFE"/>
    <w:rsid w:val="00E31C30"/>
    <w:rsid w:val="00E378A6"/>
    <w:rsid w:val="00E454D8"/>
    <w:rsid w:val="00E5301B"/>
    <w:rsid w:val="00E5409E"/>
    <w:rsid w:val="00E60F56"/>
    <w:rsid w:val="00E71FC3"/>
    <w:rsid w:val="00E73585"/>
    <w:rsid w:val="00E73AED"/>
    <w:rsid w:val="00E7545A"/>
    <w:rsid w:val="00E76B54"/>
    <w:rsid w:val="00E82A9F"/>
    <w:rsid w:val="00E916B5"/>
    <w:rsid w:val="00E955C4"/>
    <w:rsid w:val="00EA2D02"/>
    <w:rsid w:val="00EA34E1"/>
    <w:rsid w:val="00EA7934"/>
    <w:rsid w:val="00EB22E9"/>
    <w:rsid w:val="00EB5C0B"/>
    <w:rsid w:val="00EC0B8C"/>
    <w:rsid w:val="00ED0371"/>
    <w:rsid w:val="00ED2A87"/>
    <w:rsid w:val="00ED3D67"/>
    <w:rsid w:val="00F06B20"/>
    <w:rsid w:val="00F077DB"/>
    <w:rsid w:val="00F1418B"/>
    <w:rsid w:val="00F2081F"/>
    <w:rsid w:val="00F2600B"/>
    <w:rsid w:val="00F30259"/>
    <w:rsid w:val="00F30B69"/>
    <w:rsid w:val="00F30CA7"/>
    <w:rsid w:val="00F32BA9"/>
    <w:rsid w:val="00F3636E"/>
    <w:rsid w:val="00F51C3B"/>
    <w:rsid w:val="00F54BF9"/>
    <w:rsid w:val="00F81EEE"/>
    <w:rsid w:val="00F826BD"/>
    <w:rsid w:val="00F83E3E"/>
    <w:rsid w:val="00F87864"/>
    <w:rsid w:val="00F904F8"/>
    <w:rsid w:val="00FA2A63"/>
    <w:rsid w:val="00FA6C53"/>
    <w:rsid w:val="00FB117D"/>
    <w:rsid w:val="00FB4965"/>
    <w:rsid w:val="00FB55BB"/>
    <w:rsid w:val="00FD1C37"/>
    <w:rsid w:val="00FE0263"/>
    <w:rsid w:val="00FF1052"/>
    <w:rsid w:val="00FF2E11"/>
    <w:rsid w:val="00FF645E"/>
    <w:rsid w:val="07684137"/>
    <w:rsid w:val="0BA56ED2"/>
    <w:rsid w:val="160968B4"/>
    <w:rsid w:val="1F894775"/>
    <w:rsid w:val="239F449F"/>
    <w:rsid w:val="258952C4"/>
    <w:rsid w:val="2E721C20"/>
    <w:rsid w:val="3A756774"/>
    <w:rsid w:val="42A3050B"/>
    <w:rsid w:val="47627B55"/>
    <w:rsid w:val="5D966ABA"/>
    <w:rsid w:val="5F01496B"/>
    <w:rsid w:val="60DE0679"/>
    <w:rsid w:val="66E47FD9"/>
    <w:rsid w:val="6E0266B0"/>
    <w:rsid w:val="6E945090"/>
    <w:rsid w:val="6F8642AD"/>
    <w:rsid w:val="75787FC9"/>
  </w:rsids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方正小标宋简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qFormat="1" w:unhideWhenUsed="0"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nhideWhenUsed="0" w:uiPriority="99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仿宋_GB2312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99"/>
    <w:pPr>
      <w:keepNext/>
      <w:keepLines/>
      <w:spacing w:before="260" w:after="260" w:line="415" w:lineRule="auto"/>
      <w:outlineLvl w:val="1"/>
    </w:pPr>
    <w:rPr>
      <w:rFonts w:ascii="Arial" w:hAnsi="Arial" w:eastAsia="黑体" w:cs="Arial"/>
      <w:b/>
      <w:bCs/>
    </w:rPr>
  </w:style>
  <w:style w:type="paragraph" w:styleId="4">
    <w:name w:val="heading 3"/>
    <w:basedOn w:val="1"/>
    <w:next w:val="1"/>
    <w:link w:val="20"/>
    <w:qFormat/>
    <w:uiPriority w:val="99"/>
    <w:pPr>
      <w:keepNext/>
      <w:keepLines/>
      <w:spacing w:before="260" w:after="260" w:line="415" w:lineRule="auto"/>
      <w:outlineLvl w:val="2"/>
    </w:pPr>
    <w:rPr>
      <w:b/>
      <w:bCs/>
    </w:rPr>
  </w:style>
  <w:style w:type="character" w:default="1" w:styleId="12">
    <w:name w:val="Default Paragraph Font"/>
    <w:semiHidden/>
    <w:qFormat/>
    <w:uiPriority w:val="99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index 5"/>
    <w:basedOn w:val="1"/>
    <w:next w:val="1"/>
    <w:semiHidden/>
    <w:qFormat/>
    <w:uiPriority w:val="99"/>
    <w:pPr>
      <w:ind w:left="1680"/>
      <w:jc w:val="center"/>
    </w:pPr>
    <w:rPr>
      <w:rFonts w:ascii="方正小标宋简体" w:eastAsia="方正小标宋简体" w:cs="方正小标宋简体"/>
      <w:color w:val="000000"/>
      <w:sz w:val="44"/>
      <w:szCs w:val="44"/>
    </w:rPr>
  </w:style>
  <w:style w:type="paragraph" w:styleId="6">
    <w:name w:val="Body Text"/>
    <w:basedOn w:val="1"/>
    <w:link w:val="26"/>
    <w:qFormat/>
    <w:uiPriority w:val="99"/>
    <w:pPr>
      <w:spacing w:before="38"/>
      <w:ind w:left="111"/>
      <w:jc w:val="left"/>
    </w:pPr>
    <w:rPr>
      <w:rFonts w:hAnsi="仿宋_GB2312"/>
      <w:kern w:val="0"/>
      <w:lang w:eastAsia="en-US"/>
    </w:rPr>
  </w:style>
  <w:style w:type="paragraph" w:styleId="7">
    <w:name w:val="Date"/>
    <w:basedOn w:val="1"/>
    <w:next w:val="1"/>
    <w:link w:val="24"/>
    <w:semiHidden/>
    <w:qFormat/>
    <w:uiPriority w:val="99"/>
    <w:pPr>
      <w:ind w:left="100" w:leftChars="2500"/>
    </w:pPr>
  </w:style>
  <w:style w:type="paragraph" w:styleId="8">
    <w:name w:val="footer"/>
    <w:basedOn w:val="1"/>
    <w:link w:val="22"/>
    <w:qFormat/>
    <w:uiPriority w:val="99"/>
    <w:pPr>
      <w:tabs>
        <w:tab w:val="center" w:pos="4153"/>
        <w:tab w:val="right" w:pos="8307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7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link w:val="23"/>
    <w:qFormat/>
    <w:uiPriority w:val="99"/>
    <w:pPr>
      <w:spacing w:before="240" w:after="60"/>
      <w:jc w:val="center"/>
      <w:outlineLvl w:val="0"/>
    </w:pPr>
    <w:rPr>
      <w:rFonts w:ascii="Arial" w:hAnsi="Arial" w:cs="Arial"/>
      <w:b/>
      <w:bCs/>
    </w:rPr>
  </w:style>
  <w:style w:type="character" w:styleId="13">
    <w:name w:val="page number"/>
    <w:basedOn w:val="12"/>
    <w:qFormat/>
    <w:uiPriority w:val="99"/>
  </w:style>
  <w:style w:type="character" w:styleId="14">
    <w:name w:val="Emphasis"/>
    <w:basedOn w:val="12"/>
    <w:qFormat/>
    <w:uiPriority w:val="99"/>
    <w:rPr>
      <w:i/>
      <w:iCs/>
    </w:rPr>
  </w:style>
  <w:style w:type="character" w:styleId="15">
    <w:name w:val="Hyperlink"/>
    <w:basedOn w:val="12"/>
    <w:semiHidden/>
    <w:qFormat/>
    <w:uiPriority w:val="99"/>
    <w:rPr>
      <w:color w:val="0000FF"/>
      <w:u w:val="single"/>
    </w:rPr>
  </w:style>
  <w:style w:type="table" w:styleId="17">
    <w:name w:val="Table Grid"/>
    <w:basedOn w:val="16"/>
    <w:qFormat/>
    <w:uiPriority w:val="99"/>
    <w:rPr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Heading 1 Char"/>
    <w:basedOn w:val="12"/>
    <w:link w:val="2"/>
    <w:qFormat/>
    <w:locked/>
    <w:uiPriority w:val="99"/>
    <w:rPr>
      <w:rFonts w:ascii="仿宋_GB2312" w:eastAsia="仿宋_GB2312" w:cs="仿宋_GB2312"/>
      <w:b/>
      <w:bCs/>
      <w:kern w:val="44"/>
      <w:sz w:val="44"/>
      <w:szCs w:val="44"/>
    </w:rPr>
  </w:style>
  <w:style w:type="character" w:customStyle="1" w:styleId="19">
    <w:name w:val="Heading 2 Char"/>
    <w:basedOn w:val="12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0">
    <w:name w:val="Heading 3 Char"/>
    <w:basedOn w:val="12"/>
    <w:link w:val="4"/>
    <w:semiHidden/>
    <w:qFormat/>
    <w:locked/>
    <w:uiPriority w:val="99"/>
    <w:rPr>
      <w:rFonts w:ascii="仿宋_GB2312" w:eastAsia="仿宋_GB2312" w:cs="仿宋_GB2312"/>
      <w:b/>
      <w:bCs/>
      <w:sz w:val="32"/>
      <w:szCs w:val="32"/>
    </w:rPr>
  </w:style>
  <w:style w:type="character" w:customStyle="1" w:styleId="21">
    <w:name w:val="Header Char"/>
    <w:basedOn w:val="12"/>
    <w:link w:val="9"/>
    <w:semiHidden/>
    <w:qFormat/>
    <w:locked/>
    <w:uiPriority w:val="99"/>
    <w:rPr>
      <w:rFonts w:ascii="仿宋_GB2312" w:eastAsia="仿宋_GB2312" w:cs="仿宋_GB2312"/>
      <w:sz w:val="18"/>
      <w:szCs w:val="18"/>
    </w:rPr>
  </w:style>
  <w:style w:type="character" w:customStyle="1" w:styleId="22">
    <w:name w:val="Footer Char"/>
    <w:basedOn w:val="12"/>
    <w:link w:val="8"/>
    <w:locked/>
    <w:uiPriority w:val="99"/>
    <w:rPr>
      <w:rFonts w:ascii="仿宋_GB2312" w:eastAsia="仿宋_GB2312" w:cs="仿宋_GB2312"/>
      <w:kern w:val="2"/>
      <w:sz w:val="18"/>
      <w:szCs w:val="18"/>
    </w:rPr>
  </w:style>
  <w:style w:type="character" w:customStyle="1" w:styleId="23">
    <w:name w:val="Title Char"/>
    <w:basedOn w:val="12"/>
    <w:link w:val="11"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4">
    <w:name w:val="Date Char"/>
    <w:basedOn w:val="12"/>
    <w:link w:val="7"/>
    <w:semiHidden/>
    <w:qFormat/>
    <w:locked/>
    <w:uiPriority w:val="99"/>
    <w:rPr>
      <w:rFonts w:ascii="仿宋_GB2312" w:eastAsia="仿宋_GB2312" w:cs="仿宋_GB2312"/>
      <w:kern w:val="2"/>
      <w:sz w:val="32"/>
      <w:szCs w:val="32"/>
    </w:rPr>
  </w:style>
  <w:style w:type="paragraph" w:customStyle="1" w:styleId="25">
    <w:name w:val="List Paragraph"/>
    <w:basedOn w:val="1"/>
    <w:qFormat/>
    <w:uiPriority w:val="99"/>
    <w:pPr>
      <w:ind w:firstLine="420" w:firstLineChars="200"/>
    </w:pPr>
    <w:rPr>
      <w:rFonts w:ascii="Calibri" w:hAnsi="Calibri" w:eastAsia="宋体" w:cs="Calibri"/>
      <w:sz w:val="21"/>
      <w:szCs w:val="21"/>
    </w:rPr>
  </w:style>
  <w:style w:type="character" w:customStyle="1" w:styleId="26">
    <w:name w:val="Body Text Char"/>
    <w:basedOn w:val="12"/>
    <w:link w:val="6"/>
    <w:qFormat/>
    <w:locked/>
    <w:uiPriority w:val="99"/>
    <w:rPr>
      <w:rFonts w:ascii="仿宋_GB2312" w:hAnsi="仿宋_GB2312" w:eastAsia="仿宋_GB2312" w:cs="仿宋_GB2312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Hewlett-Packard</Company>
  <Pages>6</Pages>
  <Words>357</Words>
  <Characters>2037</Characters>
  <Lines>0</Lines>
  <Paragraphs>0</Paragraphs>
  <ScaleCrop>false</ScaleCrop>
  <LinksUpToDate>false</LinksUpToDate>
  <CharactersWithSpaces>0</CharactersWithSpaces>
  <Application>WPS Office_10.1.0.5400_F1E327BC-269C-435d-A152-05C5408002CA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2017-06-14T00:55:00Z</dcterms:created>
  <dc:creator>发文字号年</dc:creator>
  <cp:lastModifiedBy>Administrator</cp:lastModifiedBy>
  <cp:lastPrinted>2019-04-09T07:51:00Z</cp:lastPrinted>
  <dcterms:modified xsi:type="dcterms:W3CDTF">2020-08-06T00:37:44Z</dcterms:modified>
  <cp:revision>311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