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附件4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平潭综合实验区君山片区管理局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生态环境四级网格划分方案</w:t>
      </w:r>
      <w:bookmarkEnd w:id="0"/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第一单元格： 东美村、山边村、下厝场村、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第二单元格： 西楼村、裕潘村、大澳村、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第三单元格:  模镜村、大埕村、新湖村、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第四单元格:  五埕村、流水村、港东村、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第五单元格:  五星村、后田村、松南村、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第六单元格:  南松村、松厝村、谢厝村、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第七单元格:  东进村、东风村、孝北村、东霞村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第八单元格:  湖边村、澳底村、沃星村、南江村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第九单元格:  山门村、坑北村、北港村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第十单元格:  磹水村、渔屿村、君山村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第十一单元格:南楼村、凤楼村、中楼村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第十二单元格:昆湖村、冠山村、大坪村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第十三单元格:韩厝村、湖山村、盐田村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第十四单元格:芦南村、大中村、马腿村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第十五单元格:黄土墩村、大渊村、洋中村</w:t>
      </w:r>
    </w:p>
    <w:p>
      <w:pPr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第十六单元格:鹿寮村、西边寮村、芦北村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50D9D"/>
    <w:rsid w:val="5455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2020-12-28T03:19:00Z</dcterms:created>
  <dc:creator>saewkjdfe</dc:creator>
  <cp:lastModifiedBy>saewkjdfe</cp:lastModifiedBy>
  <dcterms:modified xsi:type="dcterms:W3CDTF">2020-12-28T03:20:11Z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