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E3EE61">
      <w:pPr>
        <w:keepNext w:val="0"/>
        <w:keepLines w:val="0"/>
        <w:pageBreakBefore w:val="0"/>
        <w:widowControl w:val="0"/>
        <w:kinsoku/>
        <w:wordWrap/>
        <w:overflowPunct/>
        <w:topLinePunct w:val="0"/>
        <w:autoSpaceDE/>
        <w:autoSpaceDN/>
        <w:bidi w:val="0"/>
        <w:adjustRightInd/>
        <w:snapToGrid w:val="0"/>
        <w:spacing w:line="680" w:lineRule="exact"/>
        <w:ind w:left="0" w:firstLine="0" w:firstLineChars="0"/>
        <w:jc w:val="center"/>
        <w:textAlignment w:val="auto"/>
        <w:rPr>
          <w:rFonts w:hint="eastAsia" w:ascii="方正小标宋简体" w:hAnsi="方正小标宋简体" w:eastAsia="方正小标宋简体" w:cs="方正小标宋简体"/>
          <w:bCs/>
          <w:color w:val="auto"/>
          <w:w w:val="90"/>
          <w:kern w:val="0"/>
          <w:sz w:val="44"/>
          <w:szCs w:val="44"/>
          <w:shd w:val="clear" w:color="auto" w:fill="FFFFFF"/>
          <w:lang w:val="en-US" w:eastAsia="zh-CN" w:bidi="ar"/>
        </w:rPr>
      </w:pPr>
      <w:bookmarkStart w:id="0" w:name="_GoBack"/>
      <w:bookmarkEnd w:id="0"/>
      <w:r>
        <w:rPr>
          <w:rFonts w:hint="eastAsia" w:ascii="方正小标宋简体" w:hAnsi="方正小标宋简体" w:eastAsia="方正小标宋简体" w:cs="方正小标宋简体"/>
          <w:bCs/>
          <w:color w:val="auto"/>
          <w:w w:val="90"/>
          <w:kern w:val="0"/>
          <w:sz w:val="44"/>
          <w:szCs w:val="44"/>
          <w:shd w:val="clear" w:color="auto" w:fill="FFFFFF"/>
          <w:lang w:val="en-US" w:eastAsia="zh-CN" w:bidi="ar"/>
        </w:rPr>
        <w:t>平潭综合实验区第五次全国经济普查公报（第五号）——第三产业基本情况之二</w:t>
      </w:r>
    </w:p>
    <w:p w14:paraId="61130F13">
      <w:pPr>
        <w:keepNext w:val="0"/>
        <w:keepLines w:val="0"/>
        <w:pageBreakBefore w:val="0"/>
        <w:widowControl w:val="0"/>
        <w:kinsoku/>
        <w:wordWrap/>
        <w:overflowPunct/>
        <w:topLinePunct w:val="0"/>
        <w:autoSpaceDE/>
        <w:autoSpaceDN/>
        <w:bidi w:val="0"/>
        <w:adjustRightInd/>
        <w:snapToGrid/>
        <w:spacing w:afterAutospacing="0" w:line="578" w:lineRule="exact"/>
        <w:ind w:left="0" w:leftChars="0" w:firstLine="0" w:firstLineChars="0"/>
        <w:jc w:val="center"/>
        <w:textAlignment w:val="auto"/>
        <w:rPr>
          <w:rFonts w:hint="eastAsia" w:ascii="楷体_GB2312" w:hAnsi="楷体_GB2312" w:eastAsia="楷体_GB2312" w:cs="楷体_GB2312"/>
          <w:color w:val="auto"/>
          <w:kern w:val="2"/>
          <w:sz w:val="32"/>
          <w:szCs w:val="32"/>
          <w:lang w:val="en-US" w:eastAsia="zh-CN" w:bidi="ar-SA"/>
        </w:rPr>
      </w:pPr>
      <w:r>
        <w:rPr>
          <w:rFonts w:hint="eastAsia" w:ascii="楷体_GB2312" w:hAnsi="楷体_GB2312" w:eastAsia="楷体_GB2312" w:cs="楷体_GB2312"/>
          <w:color w:val="auto"/>
          <w:kern w:val="2"/>
          <w:sz w:val="32"/>
          <w:szCs w:val="32"/>
          <w:lang w:val="en-US" w:eastAsia="zh-CN" w:bidi="ar-SA"/>
        </w:rPr>
        <w:t>平潭综合实验区统计局</w:t>
      </w:r>
    </w:p>
    <w:p w14:paraId="7931BE38">
      <w:pPr>
        <w:keepNext w:val="0"/>
        <w:keepLines w:val="0"/>
        <w:pageBreakBefore w:val="0"/>
        <w:widowControl w:val="0"/>
        <w:kinsoku/>
        <w:wordWrap/>
        <w:overflowPunct/>
        <w:topLinePunct w:val="0"/>
        <w:autoSpaceDE/>
        <w:autoSpaceDN/>
        <w:bidi w:val="0"/>
        <w:adjustRightInd/>
        <w:snapToGrid/>
        <w:spacing w:afterAutospacing="0" w:line="578" w:lineRule="exact"/>
        <w:ind w:left="0" w:leftChars="0" w:firstLine="0" w:firstLineChars="0"/>
        <w:jc w:val="center"/>
        <w:textAlignment w:val="auto"/>
        <w:rPr>
          <w:rFonts w:hint="eastAsia" w:ascii="楷体_GB2312" w:hAnsi="楷体_GB2312" w:eastAsia="楷体_GB2312" w:cs="楷体_GB2312"/>
          <w:color w:val="auto"/>
          <w:kern w:val="2"/>
          <w:sz w:val="32"/>
          <w:szCs w:val="32"/>
          <w:lang w:val="en-US" w:eastAsia="zh-CN" w:bidi="ar-SA"/>
        </w:rPr>
      </w:pPr>
      <w:r>
        <w:rPr>
          <w:rFonts w:hint="eastAsia" w:ascii="楷体_GB2312" w:hAnsi="楷体_GB2312" w:eastAsia="楷体_GB2312" w:cs="楷体_GB2312"/>
          <w:color w:val="auto"/>
          <w:kern w:val="2"/>
          <w:sz w:val="32"/>
          <w:szCs w:val="32"/>
          <w:lang w:val="en-US" w:eastAsia="zh-CN" w:bidi="ar-SA"/>
        </w:rPr>
        <w:t>平潭综合实验区第五次全国经济普查领导小组办公室</w:t>
      </w:r>
    </w:p>
    <w:p w14:paraId="37087821">
      <w:pPr>
        <w:pStyle w:val="4"/>
        <w:keepNext w:val="0"/>
        <w:keepLines w:val="0"/>
        <w:pageBreakBefore w:val="0"/>
        <w:widowControl w:val="0"/>
        <w:kinsoku/>
        <w:wordWrap/>
        <w:overflowPunct/>
        <w:topLinePunct w:val="0"/>
        <w:autoSpaceDE/>
        <w:autoSpaceDN/>
        <w:bidi w:val="0"/>
        <w:adjustRightInd/>
        <w:snapToGrid/>
        <w:spacing w:line="578" w:lineRule="exact"/>
        <w:ind w:left="0" w:leftChars="0" w:firstLine="0" w:firstLineChars="0"/>
        <w:jc w:val="center"/>
        <w:textAlignment w:val="baseline"/>
        <w:rPr>
          <w:rFonts w:hint="default" w:ascii="Times New Roman" w:hAnsi="Times New Roman" w:cs="Times New Roman"/>
          <w:color w:val="auto"/>
          <w:sz w:val="32"/>
          <w:szCs w:val="32"/>
          <w:lang w:val="en-US" w:eastAsia="zh-CN"/>
        </w:rPr>
      </w:pPr>
      <w:r>
        <w:rPr>
          <w:rFonts w:hint="eastAsia" w:ascii="楷体_GB2312" w:hAnsi="楷体_GB2312" w:eastAsia="楷体_GB2312" w:cs="楷体_GB2312"/>
          <w:color w:val="auto"/>
          <w:kern w:val="2"/>
          <w:sz w:val="32"/>
          <w:szCs w:val="32"/>
          <w:lang w:val="en-US" w:eastAsia="zh-CN" w:bidi="ar-SA"/>
        </w:rPr>
        <w:t>（2025年4月29日）</w:t>
      </w:r>
    </w:p>
    <w:p w14:paraId="5A8C7AB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578" w:lineRule="exact"/>
        <w:ind w:left="0" w:leftChars="0" w:right="0" w:firstLine="0" w:firstLineChars="0"/>
        <w:jc w:val="both"/>
        <w:textAlignment w:val="auto"/>
        <w:rPr>
          <w:rFonts w:hint="eastAsia" w:ascii="仿宋_GB2312" w:hAnsi="仿宋_GB2312" w:eastAsia="仿宋_GB2312" w:cs="仿宋_GB2312"/>
          <w:color w:val="auto"/>
          <w:kern w:val="2"/>
          <w:sz w:val="32"/>
          <w:szCs w:val="32"/>
          <w:u w:val="none"/>
          <w:lang w:val="en-US" w:eastAsia="zh-CN" w:bidi="ar-SA"/>
        </w:rPr>
      </w:pPr>
    </w:p>
    <w:p w14:paraId="678DCFAD">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根据第五次全国经济普查结果，现将我区第三产业中科学研究和技术服务业，水利、环境和公共设施管理业，居民服务、修理和其他服务业，教育，卫生和社会工作，文化、体育和娱乐业，公共管理、社会保障和社会组织的主要数据公布如下：</w:t>
      </w:r>
    </w:p>
    <w:p w14:paraId="6A7094F0">
      <w:pPr>
        <w:keepNext w:val="0"/>
        <w:keepLines w:val="0"/>
        <w:pageBreakBefore w:val="0"/>
        <w:kinsoku/>
        <w:wordWrap/>
        <w:overflowPunct/>
        <w:topLinePunct w:val="0"/>
        <w:autoSpaceDE/>
        <w:autoSpaceDN/>
        <w:bidi w:val="0"/>
        <w:adjustRightInd/>
        <w:snapToGrid/>
        <w:spacing w:line="578" w:lineRule="exact"/>
        <w:ind w:firstLine="640" w:firstLineChars="200"/>
        <w:textAlignment w:val="auto"/>
        <w:outlineLvl w:val="0"/>
        <w:rPr>
          <w:rFonts w:hint="eastAsia" w:ascii="黑体" w:hAnsi="Calibri" w:eastAsia="黑体" w:cs="Times New Roman"/>
          <w:color w:val="auto"/>
          <w:sz w:val="32"/>
          <w:szCs w:val="32"/>
          <w:lang w:val="en-US" w:eastAsia="zh-CN"/>
        </w:rPr>
      </w:pPr>
      <w:r>
        <w:rPr>
          <w:rFonts w:hint="eastAsia" w:ascii="黑体" w:hAnsi="Calibri" w:eastAsia="黑体" w:cs="Times New Roman"/>
          <w:color w:val="auto"/>
          <w:sz w:val="32"/>
          <w:szCs w:val="32"/>
          <w:lang w:val="en-US" w:eastAsia="zh-CN"/>
        </w:rPr>
        <w:t>一、科学研究和技术服务业</w:t>
      </w:r>
    </w:p>
    <w:p w14:paraId="7C232C11">
      <w:pPr>
        <w:keepNext w:val="0"/>
        <w:keepLines w:val="0"/>
        <w:pageBreakBefore w:val="0"/>
        <w:kinsoku/>
        <w:wordWrap/>
        <w:overflowPunct/>
        <w:topLinePunct w:val="0"/>
        <w:autoSpaceDE/>
        <w:autoSpaceDN/>
        <w:bidi w:val="0"/>
        <w:adjustRightInd/>
        <w:snapToGrid/>
        <w:spacing w:line="578"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（一）法人单位数和从业人员</w:t>
      </w:r>
    </w:p>
    <w:p w14:paraId="428F7548">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2023年末，全区共有科学研究和技术服务业法人单位285个，从业人员1956人，分别比2018年末增长80.4%和79.3%。其中，企业法人单位277个，从业人员1749人，分别比2018年末增长95.1%和86.7%（详见表5-1）。</w:t>
      </w:r>
    </w:p>
    <w:p w14:paraId="674E62B7">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578" w:lineRule="exact"/>
        <w:ind w:left="6" w:leftChars="0" w:right="6" w:firstLine="0" w:firstLineChars="0"/>
        <w:jc w:val="center"/>
        <w:textAlignment w:val="auto"/>
        <w:rPr>
          <w:rFonts w:hint="eastAsia" w:ascii="宋体" w:hAnsi="宋体" w:eastAsia="宋体" w:cs="宋体"/>
          <w:b/>
          <w:i w:val="0"/>
          <w:caps w:val="0"/>
          <w:color w:val="auto"/>
          <w:spacing w:val="0"/>
          <w:kern w:val="0"/>
          <w:sz w:val="24"/>
          <w:szCs w:val="24"/>
          <w:highlight w:val="none"/>
          <w:lang w:val="en-US" w:eastAsia="zh-CN"/>
        </w:rPr>
      </w:pPr>
      <w:r>
        <w:rPr>
          <w:rFonts w:hint="eastAsia" w:ascii="宋体" w:hAnsi="宋体" w:eastAsia="宋体" w:cs="宋体"/>
          <w:b/>
          <w:i w:val="0"/>
          <w:caps w:val="0"/>
          <w:color w:val="auto"/>
          <w:spacing w:val="0"/>
          <w:kern w:val="0"/>
          <w:sz w:val="24"/>
          <w:szCs w:val="24"/>
          <w:highlight w:val="none"/>
          <w:lang w:val="en-US" w:eastAsia="zh-CN"/>
        </w:rPr>
        <w:t>表5-1　按行业大类分组的科学研究和技术服务业企业法人单位数和从业人员</w:t>
      </w:r>
    </w:p>
    <w:tbl>
      <w:tblPr>
        <w:tblStyle w:val="8"/>
        <w:tblW w:w="8756"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3065"/>
        <w:gridCol w:w="3116"/>
        <w:gridCol w:w="2575"/>
      </w:tblGrid>
      <w:tr w14:paraId="5BB4A1EA">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698" w:hRule="atLeast"/>
          <w:tblHeader/>
          <w:jc w:val="center"/>
        </w:trPr>
        <w:tc>
          <w:tcPr>
            <w:tcW w:w="3065" w:type="dxa"/>
            <w:tcBorders>
              <w:top w:val="single" w:color="auto" w:sz="12" w:space="0"/>
              <w:left w:val="nil"/>
              <w:bottom w:val="single" w:color="auto" w:sz="4" w:space="0"/>
              <w:right w:val="single" w:color="auto" w:sz="4" w:space="0"/>
            </w:tcBorders>
            <w:vAlign w:val="center"/>
          </w:tcPr>
          <w:p w14:paraId="08593151">
            <w:pPr>
              <w:keepNext w:val="0"/>
              <w:keepLines w:val="0"/>
              <w:pageBreakBefore w:val="0"/>
              <w:widowControl/>
              <w:kinsoku/>
              <w:wordWrap/>
              <w:overflowPunct/>
              <w:topLinePunct w:val="0"/>
              <w:autoSpaceDE/>
              <w:autoSpaceDN/>
              <w:bidi w:val="0"/>
              <w:adjustRightInd/>
              <w:snapToGrid/>
              <w:spacing w:line="320" w:lineRule="exact"/>
              <w:ind w:firstLine="0" w:firstLineChars="0"/>
              <w:jc w:val="center"/>
              <w:textAlignment w:val="auto"/>
              <w:rPr>
                <w:rFonts w:hint="eastAsia" w:asciiTheme="minorEastAsia" w:hAnsiTheme="minorEastAsia" w:eastAsiaTheme="minorEastAsia" w:cstheme="minorEastAsia"/>
                <w:color w:val="auto"/>
                <w:sz w:val="21"/>
                <w:szCs w:val="21"/>
              </w:rPr>
            </w:pPr>
          </w:p>
        </w:tc>
        <w:tc>
          <w:tcPr>
            <w:tcW w:w="3116" w:type="dxa"/>
            <w:tcBorders>
              <w:top w:val="single" w:color="auto" w:sz="12" w:space="0"/>
              <w:left w:val="single" w:color="auto" w:sz="4" w:space="0"/>
              <w:bottom w:val="single" w:color="auto" w:sz="4" w:space="0"/>
              <w:right w:val="single" w:color="auto" w:sz="4" w:space="0"/>
            </w:tcBorders>
            <w:vAlign w:val="center"/>
          </w:tcPr>
          <w:p w14:paraId="696C3664">
            <w:pPr>
              <w:keepNext w:val="0"/>
              <w:keepLines w:val="0"/>
              <w:pageBreakBefore w:val="0"/>
              <w:widowControl/>
              <w:kinsoku/>
              <w:wordWrap/>
              <w:overflowPunct/>
              <w:topLinePunct w:val="0"/>
              <w:autoSpaceDE/>
              <w:autoSpaceDN/>
              <w:bidi w:val="0"/>
              <w:adjustRightInd/>
              <w:snapToGrid/>
              <w:spacing w:line="320" w:lineRule="exact"/>
              <w:ind w:left="57" w:right="57" w:firstLine="0" w:firstLineChars="0"/>
              <w:jc w:val="center"/>
              <w:textAlignment w:val="auto"/>
              <w:rPr>
                <w:rFonts w:hint="eastAsia" w:asciiTheme="minorEastAsia" w:hAnsiTheme="minorEastAsia" w:eastAsiaTheme="minorEastAsia" w:cstheme="minorEastAsia"/>
                <w:b/>
                <w:bCs/>
                <w:color w:val="auto"/>
                <w:kern w:val="0"/>
                <w:sz w:val="21"/>
                <w:szCs w:val="21"/>
              </w:rPr>
            </w:pPr>
            <w:r>
              <w:rPr>
                <w:rFonts w:hint="eastAsia" w:asciiTheme="minorEastAsia" w:hAnsiTheme="minorEastAsia" w:eastAsiaTheme="minorEastAsia" w:cstheme="minorEastAsia"/>
                <w:b/>
                <w:bCs/>
                <w:color w:val="auto"/>
                <w:kern w:val="0"/>
                <w:sz w:val="21"/>
                <w:szCs w:val="21"/>
              </w:rPr>
              <w:t>企业法人单位</w:t>
            </w:r>
          </w:p>
          <w:p w14:paraId="3C645665">
            <w:pPr>
              <w:keepNext w:val="0"/>
              <w:keepLines w:val="0"/>
              <w:pageBreakBefore w:val="0"/>
              <w:widowControl/>
              <w:kinsoku/>
              <w:wordWrap/>
              <w:overflowPunct/>
              <w:topLinePunct w:val="0"/>
              <w:autoSpaceDE/>
              <w:autoSpaceDN/>
              <w:bidi w:val="0"/>
              <w:adjustRightInd/>
              <w:snapToGrid/>
              <w:spacing w:line="320" w:lineRule="exact"/>
              <w:ind w:left="57" w:right="57"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（个）</w:t>
            </w:r>
          </w:p>
        </w:tc>
        <w:tc>
          <w:tcPr>
            <w:tcW w:w="2575" w:type="dxa"/>
            <w:tcBorders>
              <w:top w:val="single" w:color="auto" w:sz="12" w:space="0"/>
              <w:left w:val="single" w:color="auto" w:sz="4" w:space="0"/>
              <w:bottom w:val="single" w:color="auto" w:sz="4" w:space="0"/>
              <w:right w:val="nil"/>
            </w:tcBorders>
            <w:vAlign w:val="center"/>
          </w:tcPr>
          <w:p w14:paraId="3EF06B2A">
            <w:pPr>
              <w:keepNext w:val="0"/>
              <w:keepLines w:val="0"/>
              <w:pageBreakBefore w:val="0"/>
              <w:widowControl/>
              <w:kinsoku/>
              <w:wordWrap/>
              <w:overflowPunct/>
              <w:topLinePunct w:val="0"/>
              <w:autoSpaceDE/>
              <w:autoSpaceDN/>
              <w:bidi w:val="0"/>
              <w:adjustRightInd/>
              <w:snapToGrid/>
              <w:spacing w:line="320" w:lineRule="exact"/>
              <w:ind w:left="57" w:right="57" w:firstLine="0" w:firstLineChars="0"/>
              <w:jc w:val="center"/>
              <w:textAlignment w:val="auto"/>
              <w:rPr>
                <w:rFonts w:hint="eastAsia" w:asciiTheme="minorEastAsia" w:hAnsiTheme="minorEastAsia" w:eastAsiaTheme="minorEastAsia" w:cstheme="minorEastAsia"/>
                <w:b/>
                <w:bCs/>
                <w:color w:val="auto"/>
                <w:kern w:val="0"/>
                <w:sz w:val="21"/>
                <w:szCs w:val="21"/>
              </w:rPr>
            </w:pPr>
            <w:r>
              <w:rPr>
                <w:rFonts w:hint="eastAsia" w:asciiTheme="minorEastAsia" w:hAnsiTheme="minorEastAsia" w:eastAsiaTheme="minorEastAsia" w:cstheme="minorEastAsia"/>
                <w:b/>
                <w:bCs/>
                <w:color w:val="auto"/>
                <w:kern w:val="0"/>
                <w:sz w:val="21"/>
                <w:szCs w:val="21"/>
              </w:rPr>
              <w:t>从业人员</w:t>
            </w:r>
          </w:p>
          <w:p w14:paraId="5EAAA120">
            <w:pPr>
              <w:keepNext w:val="0"/>
              <w:keepLines w:val="0"/>
              <w:pageBreakBefore w:val="0"/>
              <w:widowControl/>
              <w:kinsoku/>
              <w:wordWrap/>
              <w:overflowPunct/>
              <w:topLinePunct w:val="0"/>
              <w:autoSpaceDE/>
              <w:autoSpaceDN/>
              <w:bidi w:val="0"/>
              <w:adjustRightInd/>
              <w:snapToGrid/>
              <w:spacing w:line="320" w:lineRule="exact"/>
              <w:ind w:left="57" w:right="57"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（人）</w:t>
            </w:r>
          </w:p>
        </w:tc>
      </w:tr>
      <w:tr w14:paraId="5DAC78AC">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065" w:type="dxa"/>
            <w:tcBorders>
              <w:top w:val="single" w:color="auto" w:sz="4" w:space="0"/>
              <w:left w:val="nil"/>
              <w:bottom w:val="nil"/>
              <w:right w:val="single" w:color="auto" w:sz="4" w:space="0"/>
            </w:tcBorders>
            <w:vAlign w:val="center"/>
          </w:tcPr>
          <w:p w14:paraId="78090D7D">
            <w:pPr>
              <w:keepNext w:val="0"/>
              <w:keepLines w:val="0"/>
              <w:pageBreakBefore w:val="0"/>
              <w:widowControl/>
              <w:kinsoku/>
              <w:wordWrap/>
              <w:overflowPunct/>
              <w:topLinePunct w:val="0"/>
              <w:autoSpaceDE/>
              <w:autoSpaceDN/>
              <w:bidi w:val="0"/>
              <w:adjustRightInd/>
              <w:snapToGrid/>
              <w:spacing w:line="320" w:lineRule="exact"/>
              <w:ind w:right="57" w:firstLine="0" w:firstLineChars="0"/>
              <w:jc w:val="center"/>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
                <w:color w:val="auto"/>
                <w:kern w:val="0"/>
                <w:sz w:val="21"/>
                <w:szCs w:val="21"/>
              </w:rPr>
              <w:t>合　计</w:t>
            </w:r>
          </w:p>
        </w:tc>
        <w:tc>
          <w:tcPr>
            <w:tcW w:w="3116" w:type="dxa"/>
            <w:tcBorders>
              <w:top w:val="single" w:color="auto" w:sz="4" w:space="0"/>
              <w:left w:val="single" w:color="auto" w:sz="4" w:space="0"/>
              <w:bottom w:val="nil"/>
              <w:right w:val="single" w:color="auto" w:sz="4" w:space="0"/>
            </w:tcBorders>
            <w:vAlign w:val="center"/>
          </w:tcPr>
          <w:p w14:paraId="46B8E70F">
            <w:pPr>
              <w:keepNext w:val="0"/>
              <w:keepLines w:val="0"/>
              <w:pageBreakBefore w:val="0"/>
              <w:widowControl/>
              <w:kinsoku/>
              <w:wordWrap/>
              <w:overflowPunct/>
              <w:topLinePunct w:val="0"/>
              <w:autoSpaceDE/>
              <w:autoSpaceDN/>
              <w:bidi w:val="0"/>
              <w:adjustRightInd/>
              <w:snapToGrid/>
              <w:spacing w:line="320" w:lineRule="exact"/>
              <w:ind w:firstLine="0" w:firstLineChars="0"/>
              <w:jc w:val="right"/>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color w:val="auto"/>
                <w:sz w:val="21"/>
                <w:szCs w:val="21"/>
              </w:rPr>
              <w:t xml:space="preserve">277 </w:t>
            </w:r>
          </w:p>
        </w:tc>
        <w:tc>
          <w:tcPr>
            <w:tcW w:w="2575" w:type="dxa"/>
            <w:tcBorders>
              <w:top w:val="single" w:color="auto" w:sz="4" w:space="0"/>
              <w:left w:val="single" w:color="auto" w:sz="4" w:space="0"/>
              <w:bottom w:val="nil"/>
              <w:right w:val="nil"/>
            </w:tcBorders>
            <w:vAlign w:val="center"/>
          </w:tcPr>
          <w:p w14:paraId="3CA38092">
            <w:pPr>
              <w:keepNext w:val="0"/>
              <w:keepLines w:val="0"/>
              <w:pageBreakBefore w:val="0"/>
              <w:widowControl/>
              <w:kinsoku/>
              <w:wordWrap/>
              <w:overflowPunct/>
              <w:topLinePunct w:val="0"/>
              <w:autoSpaceDE/>
              <w:autoSpaceDN/>
              <w:bidi w:val="0"/>
              <w:adjustRightInd/>
              <w:snapToGrid/>
              <w:spacing w:line="320" w:lineRule="exact"/>
              <w:ind w:firstLine="0" w:firstLineChars="0"/>
              <w:jc w:val="right"/>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sz w:val="21"/>
                <w:szCs w:val="21"/>
              </w:rPr>
              <w:t>1749</w:t>
            </w:r>
          </w:p>
        </w:tc>
      </w:tr>
      <w:tr w14:paraId="364272A4">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065" w:type="dxa"/>
            <w:tcBorders>
              <w:top w:val="nil"/>
              <w:left w:val="nil"/>
              <w:bottom w:val="nil"/>
              <w:right w:val="single" w:color="auto" w:sz="4" w:space="0"/>
            </w:tcBorders>
            <w:vAlign w:val="center"/>
          </w:tcPr>
          <w:p w14:paraId="7AF34D35">
            <w:pPr>
              <w:keepNext w:val="0"/>
              <w:keepLines w:val="0"/>
              <w:pageBreakBefore w:val="0"/>
              <w:widowControl/>
              <w:kinsoku/>
              <w:wordWrap/>
              <w:overflowPunct/>
              <w:topLinePunct w:val="0"/>
              <w:autoSpaceDE/>
              <w:autoSpaceDN/>
              <w:bidi w:val="0"/>
              <w:adjustRightInd/>
              <w:snapToGrid/>
              <w:spacing w:line="320" w:lineRule="exact"/>
              <w:ind w:right="57"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研究和试验发展</w:t>
            </w:r>
          </w:p>
        </w:tc>
        <w:tc>
          <w:tcPr>
            <w:tcW w:w="3116" w:type="dxa"/>
            <w:tcBorders>
              <w:top w:val="nil"/>
              <w:left w:val="single" w:color="auto" w:sz="4" w:space="0"/>
              <w:bottom w:val="nil"/>
              <w:right w:val="single" w:color="auto" w:sz="4" w:space="0"/>
            </w:tcBorders>
            <w:vAlign w:val="center"/>
          </w:tcPr>
          <w:p w14:paraId="12E19793">
            <w:pPr>
              <w:keepNext w:val="0"/>
              <w:keepLines w:val="0"/>
              <w:pageBreakBefore w:val="0"/>
              <w:widowControl/>
              <w:kinsoku/>
              <w:wordWrap/>
              <w:overflowPunct/>
              <w:topLinePunct w:val="0"/>
              <w:autoSpaceDE/>
              <w:autoSpaceDN/>
              <w:bidi w:val="0"/>
              <w:adjustRightInd/>
              <w:snapToGrid/>
              <w:spacing w:line="320" w:lineRule="exact"/>
              <w:ind w:firstLine="0" w:firstLineChars="0"/>
              <w:jc w:val="right"/>
              <w:rPr>
                <w:rFonts w:hint="eastAsia" w:asciiTheme="minorEastAsia" w:hAnsiTheme="minorEastAsia" w:eastAsiaTheme="minorEastAsia" w:cstheme="minorEastAsia"/>
                <w:color w:val="auto"/>
                <w:kern w:val="0"/>
                <w:sz w:val="21"/>
                <w:szCs w:val="21"/>
              </w:rPr>
            </w:pPr>
            <w:r>
              <w:rPr>
                <w:rFonts w:hint="eastAsia" w:asciiTheme="minorEastAsia" w:hAnsiTheme="minorEastAsia" w:eastAsiaTheme="minorEastAsia" w:cstheme="minorEastAsia"/>
                <w:color w:val="auto"/>
                <w:sz w:val="21"/>
                <w:szCs w:val="21"/>
              </w:rPr>
              <w:t xml:space="preserve">36 </w:t>
            </w:r>
          </w:p>
        </w:tc>
        <w:tc>
          <w:tcPr>
            <w:tcW w:w="2575" w:type="dxa"/>
            <w:tcBorders>
              <w:top w:val="nil"/>
              <w:left w:val="single" w:color="auto" w:sz="4" w:space="0"/>
              <w:bottom w:val="nil"/>
              <w:right w:val="nil"/>
            </w:tcBorders>
            <w:vAlign w:val="center"/>
          </w:tcPr>
          <w:p w14:paraId="48AE380F">
            <w:pPr>
              <w:keepNext w:val="0"/>
              <w:keepLines w:val="0"/>
              <w:pageBreakBefore w:val="0"/>
              <w:widowControl/>
              <w:kinsoku/>
              <w:wordWrap/>
              <w:overflowPunct/>
              <w:topLinePunct w:val="0"/>
              <w:autoSpaceDE/>
              <w:autoSpaceDN/>
              <w:bidi w:val="0"/>
              <w:adjustRightInd/>
              <w:snapToGrid/>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132</w:t>
            </w:r>
          </w:p>
        </w:tc>
      </w:tr>
      <w:tr w14:paraId="669A1599">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065" w:type="dxa"/>
            <w:tcBorders>
              <w:top w:val="nil"/>
              <w:left w:val="nil"/>
              <w:bottom w:val="nil"/>
              <w:right w:val="single" w:color="auto" w:sz="4" w:space="0"/>
            </w:tcBorders>
            <w:vAlign w:val="center"/>
          </w:tcPr>
          <w:p w14:paraId="5198BF56">
            <w:pPr>
              <w:keepNext w:val="0"/>
              <w:keepLines w:val="0"/>
              <w:pageBreakBefore w:val="0"/>
              <w:widowControl/>
              <w:kinsoku/>
              <w:wordWrap/>
              <w:overflowPunct/>
              <w:topLinePunct w:val="0"/>
              <w:autoSpaceDE/>
              <w:autoSpaceDN/>
              <w:bidi w:val="0"/>
              <w:adjustRightInd/>
              <w:snapToGrid/>
              <w:spacing w:line="320" w:lineRule="exact"/>
              <w:ind w:right="57"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专业技术服务业</w:t>
            </w:r>
          </w:p>
        </w:tc>
        <w:tc>
          <w:tcPr>
            <w:tcW w:w="3116" w:type="dxa"/>
            <w:tcBorders>
              <w:top w:val="nil"/>
              <w:left w:val="single" w:color="auto" w:sz="4" w:space="0"/>
              <w:bottom w:val="nil"/>
              <w:right w:val="single" w:color="auto" w:sz="4" w:space="0"/>
            </w:tcBorders>
            <w:vAlign w:val="center"/>
          </w:tcPr>
          <w:p w14:paraId="551DD552">
            <w:pPr>
              <w:keepNext w:val="0"/>
              <w:keepLines w:val="0"/>
              <w:pageBreakBefore w:val="0"/>
              <w:widowControl/>
              <w:kinsoku/>
              <w:wordWrap/>
              <w:overflowPunct/>
              <w:topLinePunct w:val="0"/>
              <w:autoSpaceDE/>
              <w:autoSpaceDN/>
              <w:bidi w:val="0"/>
              <w:adjustRightInd/>
              <w:snapToGrid/>
              <w:spacing w:line="320" w:lineRule="exact"/>
              <w:ind w:firstLine="0" w:firstLineChars="0"/>
              <w:jc w:val="right"/>
              <w:rPr>
                <w:rFonts w:hint="eastAsia" w:asciiTheme="minorEastAsia" w:hAnsiTheme="minorEastAsia" w:eastAsiaTheme="minorEastAsia" w:cstheme="minorEastAsia"/>
                <w:color w:val="auto"/>
                <w:kern w:val="0"/>
                <w:sz w:val="21"/>
                <w:szCs w:val="21"/>
              </w:rPr>
            </w:pPr>
            <w:r>
              <w:rPr>
                <w:rFonts w:hint="eastAsia" w:asciiTheme="minorEastAsia" w:hAnsiTheme="minorEastAsia" w:eastAsiaTheme="minorEastAsia" w:cstheme="minorEastAsia"/>
                <w:color w:val="auto"/>
                <w:sz w:val="21"/>
                <w:szCs w:val="21"/>
              </w:rPr>
              <w:t xml:space="preserve">143 </w:t>
            </w:r>
          </w:p>
        </w:tc>
        <w:tc>
          <w:tcPr>
            <w:tcW w:w="2575" w:type="dxa"/>
            <w:tcBorders>
              <w:top w:val="nil"/>
              <w:left w:val="single" w:color="auto" w:sz="4" w:space="0"/>
              <w:bottom w:val="nil"/>
              <w:right w:val="nil"/>
            </w:tcBorders>
            <w:vAlign w:val="center"/>
          </w:tcPr>
          <w:p w14:paraId="7EA66A9F">
            <w:pPr>
              <w:keepNext w:val="0"/>
              <w:keepLines w:val="0"/>
              <w:pageBreakBefore w:val="0"/>
              <w:widowControl/>
              <w:kinsoku/>
              <w:wordWrap/>
              <w:overflowPunct/>
              <w:topLinePunct w:val="0"/>
              <w:autoSpaceDE/>
              <w:autoSpaceDN/>
              <w:bidi w:val="0"/>
              <w:adjustRightInd/>
              <w:snapToGrid/>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1158</w:t>
            </w:r>
          </w:p>
        </w:tc>
      </w:tr>
      <w:tr w14:paraId="297C1974">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065" w:type="dxa"/>
            <w:tcBorders>
              <w:top w:val="nil"/>
              <w:left w:val="nil"/>
              <w:bottom w:val="single" w:color="auto" w:sz="12" w:space="0"/>
              <w:right w:val="single" w:color="auto" w:sz="4" w:space="0"/>
            </w:tcBorders>
            <w:vAlign w:val="center"/>
          </w:tcPr>
          <w:p w14:paraId="75D3138B">
            <w:pPr>
              <w:keepNext w:val="0"/>
              <w:keepLines w:val="0"/>
              <w:pageBreakBefore w:val="0"/>
              <w:widowControl/>
              <w:kinsoku/>
              <w:wordWrap/>
              <w:overflowPunct/>
              <w:topLinePunct w:val="0"/>
              <w:autoSpaceDE/>
              <w:autoSpaceDN/>
              <w:bidi w:val="0"/>
              <w:adjustRightInd/>
              <w:snapToGrid/>
              <w:spacing w:line="320" w:lineRule="exact"/>
              <w:ind w:right="57"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科技推广和应用服务业</w:t>
            </w:r>
          </w:p>
        </w:tc>
        <w:tc>
          <w:tcPr>
            <w:tcW w:w="3116" w:type="dxa"/>
            <w:tcBorders>
              <w:top w:val="nil"/>
              <w:left w:val="single" w:color="auto" w:sz="4" w:space="0"/>
              <w:bottom w:val="single" w:color="auto" w:sz="12" w:space="0"/>
              <w:right w:val="single" w:color="auto" w:sz="4" w:space="0"/>
            </w:tcBorders>
            <w:vAlign w:val="center"/>
          </w:tcPr>
          <w:p w14:paraId="5F1496F3">
            <w:pPr>
              <w:keepNext w:val="0"/>
              <w:keepLines w:val="0"/>
              <w:pageBreakBefore w:val="0"/>
              <w:widowControl/>
              <w:kinsoku/>
              <w:wordWrap/>
              <w:overflowPunct/>
              <w:topLinePunct w:val="0"/>
              <w:autoSpaceDE/>
              <w:autoSpaceDN/>
              <w:bidi w:val="0"/>
              <w:adjustRightInd/>
              <w:snapToGrid/>
              <w:spacing w:line="320" w:lineRule="exact"/>
              <w:ind w:firstLine="0" w:firstLineChars="0"/>
              <w:jc w:val="right"/>
              <w:rPr>
                <w:rFonts w:hint="eastAsia" w:asciiTheme="minorEastAsia" w:hAnsiTheme="minorEastAsia" w:eastAsiaTheme="minorEastAsia" w:cstheme="minorEastAsia"/>
                <w:color w:val="auto"/>
                <w:kern w:val="0"/>
                <w:sz w:val="21"/>
                <w:szCs w:val="21"/>
              </w:rPr>
            </w:pPr>
            <w:r>
              <w:rPr>
                <w:rFonts w:hint="eastAsia" w:asciiTheme="minorEastAsia" w:hAnsiTheme="minorEastAsia" w:eastAsiaTheme="minorEastAsia" w:cstheme="minorEastAsia"/>
                <w:color w:val="auto"/>
                <w:kern w:val="0"/>
                <w:sz w:val="21"/>
                <w:szCs w:val="21"/>
              </w:rPr>
              <w:t>98</w:t>
            </w:r>
          </w:p>
        </w:tc>
        <w:tc>
          <w:tcPr>
            <w:tcW w:w="2575" w:type="dxa"/>
            <w:tcBorders>
              <w:top w:val="nil"/>
              <w:left w:val="single" w:color="auto" w:sz="4" w:space="0"/>
              <w:bottom w:val="single" w:color="auto" w:sz="12" w:space="0"/>
              <w:right w:val="nil"/>
            </w:tcBorders>
            <w:vAlign w:val="center"/>
          </w:tcPr>
          <w:p w14:paraId="05DC243A">
            <w:pPr>
              <w:keepNext w:val="0"/>
              <w:keepLines w:val="0"/>
              <w:pageBreakBefore w:val="0"/>
              <w:widowControl/>
              <w:kinsoku/>
              <w:wordWrap/>
              <w:overflowPunct/>
              <w:topLinePunct w:val="0"/>
              <w:autoSpaceDE/>
              <w:autoSpaceDN/>
              <w:bidi w:val="0"/>
              <w:adjustRightInd/>
              <w:snapToGrid/>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459</w:t>
            </w:r>
          </w:p>
        </w:tc>
      </w:tr>
    </w:tbl>
    <w:p w14:paraId="58276DE3">
      <w:pPr>
        <w:pStyle w:val="2"/>
        <w:keepNext w:val="0"/>
        <w:keepLines w:val="0"/>
        <w:pageBreakBefore w:val="0"/>
        <w:widowControl w:val="0"/>
        <w:kinsoku/>
        <w:wordWrap/>
        <w:overflowPunct/>
        <w:topLinePunct w:val="0"/>
        <w:autoSpaceDE/>
        <w:autoSpaceDN/>
        <w:bidi w:val="0"/>
        <w:adjustRightInd/>
        <w:snapToGrid/>
        <w:spacing w:beforeLines="0" w:line="556"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在科学研究和技术服务业企业法人单位中，内资企业占91.7%，港澳台投资企业占7.9%，外商投资企业占0.4%。</w:t>
      </w:r>
    </w:p>
    <w:p w14:paraId="2954498C">
      <w:pPr>
        <w:pStyle w:val="2"/>
        <w:keepNext w:val="0"/>
        <w:keepLines w:val="0"/>
        <w:pageBreakBefore w:val="0"/>
        <w:widowControl w:val="0"/>
        <w:kinsoku/>
        <w:wordWrap/>
        <w:overflowPunct/>
        <w:topLinePunct w:val="0"/>
        <w:autoSpaceDE/>
        <w:autoSpaceDN/>
        <w:bidi w:val="0"/>
        <w:adjustRightInd/>
        <w:snapToGrid/>
        <w:spacing w:beforeLines="0" w:line="556"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在科学研究和技术服务业企业法人单位从业人员中，内资企业占95.4%，港澳台投资企业占4.5%，外商投资企业占</w:t>
      </w:r>
      <w:r>
        <w:rPr>
          <w:rFonts w:hint="eastAsia" w:ascii="仿宋_GB2312" w:hAnsi="仿宋_GB2312" w:eastAsia="仿宋_GB2312" w:cs="仿宋_GB2312"/>
          <w:color w:val="auto"/>
          <w:sz w:val="32"/>
          <w:szCs w:val="32"/>
          <w:u w:val="none"/>
          <w:lang w:val="en-US" w:eastAsia="zh-CN"/>
        </w:rPr>
        <w:t>0</w:t>
      </w:r>
      <w:r>
        <w:rPr>
          <w:rFonts w:hint="eastAsia" w:ascii="仿宋_GB2312" w:hAnsi="仿宋_GB2312" w:eastAsia="仿宋_GB2312" w:cs="仿宋_GB2312"/>
          <w:color w:val="auto"/>
          <w:sz w:val="32"/>
          <w:szCs w:val="32"/>
          <w:u w:val="none"/>
          <w:lang w:eastAsia="zh-CN"/>
        </w:rPr>
        <w:t>.1%（详见表5-2）。</w:t>
      </w:r>
    </w:p>
    <w:p w14:paraId="3FA3930C">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556" w:lineRule="exact"/>
        <w:ind w:left="6" w:leftChars="0" w:right="6" w:firstLine="0" w:firstLineChars="0"/>
        <w:jc w:val="center"/>
        <w:textAlignment w:val="auto"/>
        <w:rPr>
          <w:rFonts w:hint="eastAsia" w:ascii="宋体" w:hAnsi="宋体" w:eastAsia="宋体" w:cs="宋体"/>
          <w:b/>
          <w:i w:val="0"/>
          <w:caps w:val="0"/>
          <w:color w:val="auto"/>
          <w:spacing w:val="-6"/>
          <w:kern w:val="0"/>
          <w:sz w:val="24"/>
          <w:szCs w:val="24"/>
          <w:highlight w:val="none"/>
          <w:lang w:val="en-US" w:eastAsia="zh-CN"/>
        </w:rPr>
      </w:pPr>
      <w:r>
        <w:rPr>
          <w:rFonts w:hint="eastAsia" w:ascii="宋体" w:hAnsi="宋体" w:eastAsia="宋体" w:cs="宋体"/>
          <w:b/>
          <w:i w:val="0"/>
          <w:caps w:val="0"/>
          <w:color w:val="auto"/>
          <w:spacing w:val="-6"/>
          <w:kern w:val="0"/>
          <w:sz w:val="24"/>
          <w:szCs w:val="24"/>
          <w:highlight w:val="none"/>
          <w:lang w:val="en-US" w:eastAsia="zh-CN"/>
        </w:rPr>
        <w:t>表5-2　按登记注册统计类别分组的科学研究和技术服务业企业法人单位数和从业人员</w:t>
      </w:r>
    </w:p>
    <w:tbl>
      <w:tblPr>
        <w:tblStyle w:val="8"/>
        <w:tblW w:w="8841"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3415"/>
        <w:gridCol w:w="2989"/>
        <w:gridCol w:w="2437"/>
      </w:tblGrid>
      <w:tr w14:paraId="62317B2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371" w:hRule="atLeast"/>
          <w:jc w:val="center"/>
        </w:trPr>
        <w:tc>
          <w:tcPr>
            <w:tcW w:w="3415" w:type="dxa"/>
            <w:tcBorders>
              <w:top w:val="single" w:color="auto" w:sz="12" w:space="0"/>
              <w:left w:val="nil"/>
              <w:bottom w:val="single" w:color="auto" w:sz="4" w:space="0"/>
              <w:right w:val="single" w:color="auto" w:sz="4" w:space="0"/>
            </w:tcBorders>
            <w:vAlign w:val="center"/>
          </w:tcPr>
          <w:p w14:paraId="26679DBD">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color w:val="auto"/>
                <w:sz w:val="21"/>
                <w:szCs w:val="21"/>
              </w:rPr>
            </w:pPr>
          </w:p>
        </w:tc>
        <w:tc>
          <w:tcPr>
            <w:tcW w:w="2989" w:type="dxa"/>
            <w:tcBorders>
              <w:top w:val="single" w:color="auto" w:sz="12" w:space="0"/>
              <w:left w:val="single" w:color="auto" w:sz="4" w:space="0"/>
              <w:bottom w:val="single" w:color="auto" w:sz="4" w:space="0"/>
              <w:right w:val="single" w:color="auto" w:sz="4" w:space="0"/>
            </w:tcBorders>
            <w:vAlign w:val="center"/>
          </w:tcPr>
          <w:p w14:paraId="56982893">
            <w:pPr>
              <w:keepNext w:val="0"/>
              <w:keepLines w:val="0"/>
              <w:pageBreakBefore w:val="0"/>
              <w:widowControl w:val="0"/>
              <w:kinsoku/>
              <w:wordWrap/>
              <w:overflowPunct/>
              <w:topLinePunct w:val="0"/>
              <w:autoSpaceDE/>
              <w:autoSpaceDN/>
              <w:bidi w:val="0"/>
              <w:adjustRightInd/>
              <w:snapToGrid w:val="0"/>
              <w:spacing w:line="300" w:lineRule="exact"/>
              <w:ind w:firstLine="0" w:firstLineChars="0"/>
              <w:jc w:val="center"/>
              <w:textAlignment w:val="auto"/>
              <w:rPr>
                <w:rFonts w:hint="eastAsia" w:asciiTheme="minorEastAsia" w:hAnsiTheme="minorEastAsia" w:eastAsiaTheme="minorEastAsia" w:cstheme="minorEastAsia"/>
                <w:b/>
                <w:bCs/>
                <w:color w:val="auto"/>
                <w:kern w:val="0"/>
                <w:position w:val="0"/>
                <w:sz w:val="21"/>
                <w:szCs w:val="21"/>
              </w:rPr>
            </w:pPr>
            <w:r>
              <w:rPr>
                <w:rFonts w:hint="eastAsia" w:asciiTheme="minorEastAsia" w:hAnsiTheme="minorEastAsia" w:eastAsiaTheme="minorEastAsia" w:cstheme="minorEastAsia"/>
                <w:b/>
                <w:bCs/>
                <w:color w:val="auto"/>
                <w:kern w:val="0"/>
                <w:position w:val="0"/>
                <w:sz w:val="21"/>
                <w:szCs w:val="21"/>
              </w:rPr>
              <w:t>企业法人单位</w:t>
            </w:r>
          </w:p>
          <w:p w14:paraId="697FCEFC">
            <w:pPr>
              <w:keepNext w:val="0"/>
              <w:keepLines w:val="0"/>
              <w:pageBreakBefore w:val="0"/>
              <w:widowControl w:val="0"/>
              <w:kinsoku/>
              <w:wordWrap/>
              <w:overflowPunct/>
              <w:topLinePunct w:val="0"/>
              <w:autoSpaceDE/>
              <w:autoSpaceDN/>
              <w:bidi w:val="0"/>
              <w:adjustRightInd/>
              <w:snapToGrid w:val="0"/>
              <w:spacing w:line="300" w:lineRule="exact"/>
              <w:ind w:firstLine="0" w:firstLineChars="0"/>
              <w:jc w:val="center"/>
              <w:textAlignment w:val="auto"/>
              <w:rPr>
                <w:rFonts w:hint="eastAsia" w:asciiTheme="minorEastAsia" w:hAnsiTheme="minorEastAsia" w:eastAsiaTheme="minorEastAsia" w:cstheme="minorEastAsia"/>
                <w:b/>
                <w:bCs/>
                <w:color w:val="auto"/>
                <w:position w:val="0"/>
                <w:sz w:val="21"/>
                <w:szCs w:val="21"/>
              </w:rPr>
            </w:pPr>
            <w:r>
              <w:rPr>
                <w:rFonts w:hint="eastAsia" w:asciiTheme="minorEastAsia" w:hAnsiTheme="minorEastAsia" w:eastAsiaTheme="minorEastAsia" w:cstheme="minorEastAsia"/>
                <w:b/>
                <w:bCs/>
                <w:color w:val="auto"/>
                <w:kern w:val="0"/>
                <w:position w:val="0"/>
                <w:sz w:val="21"/>
                <w:szCs w:val="21"/>
              </w:rPr>
              <w:t>（个）</w:t>
            </w:r>
          </w:p>
        </w:tc>
        <w:tc>
          <w:tcPr>
            <w:tcW w:w="2437" w:type="dxa"/>
            <w:tcBorders>
              <w:top w:val="single" w:color="auto" w:sz="12" w:space="0"/>
              <w:left w:val="single" w:color="auto" w:sz="4" w:space="0"/>
              <w:bottom w:val="single" w:color="auto" w:sz="4" w:space="0"/>
              <w:right w:val="nil"/>
            </w:tcBorders>
            <w:vAlign w:val="center"/>
          </w:tcPr>
          <w:p w14:paraId="0C9931C5">
            <w:pPr>
              <w:keepNext w:val="0"/>
              <w:keepLines w:val="0"/>
              <w:pageBreakBefore w:val="0"/>
              <w:widowControl w:val="0"/>
              <w:kinsoku/>
              <w:wordWrap/>
              <w:overflowPunct/>
              <w:topLinePunct w:val="0"/>
              <w:autoSpaceDE/>
              <w:autoSpaceDN/>
              <w:bidi w:val="0"/>
              <w:adjustRightInd/>
              <w:snapToGrid w:val="0"/>
              <w:spacing w:line="300" w:lineRule="exact"/>
              <w:ind w:firstLine="0" w:firstLineChars="0"/>
              <w:jc w:val="center"/>
              <w:textAlignment w:val="auto"/>
              <w:rPr>
                <w:rFonts w:hint="eastAsia" w:asciiTheme="minorEastAsia" w:hAnsiTheme="minorEastAsia" w:eastAsiaTheme="minorEastAsia" w:cstheme="minorEastAsia"/>
                <w:b/>
                <w:bCs/>
                <w:color w:val="auto"/>
                <w:kern w:val="0"/>
                <w:position w:val="0"/>
                <w:sz w:val="21"/>
                <w:szCs w:val="21"/>
              </w:rPr>
            </w:pPr>
            <w:r>
              <w:rPr>
                <w:rFonts w:hint="eastAsia" w:asciiTheme="minorEastAsia" w:hAnsiTheme="minorEastAsia" w:eastAsiaTheme="minorEastAsia" w:cstheme="minorEastAsia"/>
                <w:b/>
                <w:bCs/>
                <w:color w:val="auto"/>
                <w:kern w:val="0"/>
                <w:position w:val="0"/>
                <w:sz w:val="21"/>
                <w:szCs w:val="21"/>
              </w:rPr>
              <w:t>从业人员</w:t>
            </w:r>
          </w:p>
          <w:p w14:paraId="2F103B9D">
            <w:pPr>
              <w:keepNext w:val="0"/>
              <w:keepLines w:val="0"/>
              <w:pageBreakBefore w:val="0"/>
              <w:widowControl w:val="0"/>
              <w:kinsoku/>
              <w:wordWrap/>
              <w:overflowPunct/>
              <w:topLinePunct w:val="0"/>
              <w:autoSpaceDE/>
              <w:autoSpaceDN/>
              <w:bidi w:val="0"/>
              <w:adjustRightInd/>
              <w:snapToGrid w:val="0"/>
              <w:spacing w:line="300" w:lineRule="exact"/>
              <w:ind w:firstLine="0" w:firstLineChars="0"/>
              <w:jc w:val="center"/>
              <w:textAlignment w:val="auto"/>
              <w:rPr>
                <w:rFonts w:hint="eastAsia" w:asciiTheme="minorEastAsia" w:hAnsiTheme="minorEastAsia" w:eastAsiaTheme="minorEastAsia" w:cstheme="minorEastAsia"/>
                <w:b/>
                <w:bCs/>
                <w:color w:val="auto"/>
                <w:position w:val="0"/>
                <w:sz w:val="21"/>
                <w:szCs w:val="21"/>
              </w:rPr>
            </w:pPr>
            <w:r>
              <w:rPr>
                <w:rFonts w:hint="eastAsia" w:asciiTheme="minorEastAsia" w:hAnsiTheme="minorEastAsia" w:eastAsiaTheme="minorEastAsia" w:cstheme="minorEastAsia"/>
                <w:b/>
                <w:bCs/>
                <w:color w:val="auto"/>
                <w:kern w:val="0"/>
                <w:position w:val="0"/>
                <w:sz w:val="21"/>
                <w:szCs w:val="21"/>
              </w:rPr>
              <w:t>（人）</w:t>
            </w:r>
          </w:p>
        </w:tc>
      </w:tr>
      <w:tr w14:paraId="6245B01E">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415" w:type="dxa"/>
            <w:tcBorders>
              <w:top w:val="single" w:color="auto" w:sz="4" w:space="0"/>
              <w:left w:val="nil"/>
              <w:bottom w:val="nil"/>
              <w:right w:val="single" w:color="auto" w:sz="4" w:space="0"/>
            </w:tcBorders>
            <w:vAlign w:val="center"/>
          </w:tcPr>
          <w:p w14:paraId="304FB3F1">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
                <w:color w:val="auto"/>
                <w:kern w:val="0"/>
                <w:sz w:val="21"/>
                <w:szCs w:val="21"/>
              </w:rPr>
              <w:t>合　计</w:t>
            </w:r>
          </w:p>
        </w:tc>
        <w:tc>
          <w:tcPr>
            <w:tcW w:w="2989" w:type="dxa"/>
            <w:tcBorders>
              <w:top w:val="single" w:color="auto" w:sz="4" w:space="0"/>
              <w:left w:val="single" w:color="auto" w:sz="4" w:space="0"/>
              <w:bottom w:val="nil"/>
              <w:right w:val="single" w:color="auto" w:sz="4" w:space="0"/>
            </w:tcBorders>
            <w:vAlign w:val="center"/>
          </w:tcPr>
          <w:p w14:paraId="624790A8">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sz w:val="21"/>
                <w:szCs w:val="21"/>
              </w:rPr>
              <w:t>277</w:t>
            </w:r>
          </w:p>
        </w:tc>
        <w:tc>
          <w:tcPr>
            <w:tcW w:w="2437" w:type="dxa"/>
            <w:tcBorders>
              <w:top w:val="single" w:color="auto" w:sz="4" w:space="0"/>
              <w:left w:val="single" w:color="auto" w:sz="4" w:space="0"/>
              <w:bottom w:val="nil"/>
              <w:right w:val="nil"/>
            </w:tcBorders>
            <w:vAlign w:val="center"/>
          </w:tcPr>
          <w:p w14:paraId="0E4B8A07">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sz w:val="21"/>
                <w:szCs w:val="21"/>
              </w:rPr>
              <w:t>1749</w:t>
            </w:r>
          </w:p>
        </w:tc>
      </w:tr>
      <w:tr w14:paraId="4666BEE9">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415" w:type="dxa"/>
            <w:tcBorders>
              <w:top w:val="nil"/>
              <w:left w:val="nil"/>
              <w:bottom w:val="nil"/>
              <w:right w:val="single" w:color="auto" w:sz="4" w:space="0"/>
            </w:tcBorders>
            <w:vAlign w:val="center"/>
          </w:tcPr>
          <w:p w14:paraId="0D26DB49">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bCs/>
                <w:color w:val="auto"/>
                <w:sz w:val="21"/>
                <w:szCs w:val="21"/>
              </w:rPr>
            </w:pPr>
            <w:r>
              <w:rPr>
                <w:rFonts w:hint="eastAsia" w:asciiTheme="minorEastAsia" w:hAnsiTheme="minorEastAsia" w:eastAsiaTheme="minorEastAsia" w:cstheme="minorEastAsia"/>
                <w:bCs/>
                <w:color w:val="auto"/>
                <w:kern w:val="0"/>
                <w:sz w:val="21"/>
                <w:szCs w:val="21"/>
              </w:rPr>
              <w:t>内资企业</w:t>
            </w:r>
          </w:p>
        </w:tc>
        <w:tc>
          <w:tcPr>
            <w:tcW w:w="2989" w:type="dxa"/>
            <w:tcBorders>
              <w:top w:val="nil"/>
              <w:left w:val="single" w:color="auto" w:sz="4" w:space="0"/>
              <w:bottom w:val="nil"/>
              <w:right w:val="single" w:color="auto" w:sz="4" w:space="0"/>
            </w:tcBorders>
            <w:vAlign w:val="center"/>
          </w:tcPr>
          <w:p w14:paraId="23338B51">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254</w:t>
            </w:r>
          </w:p>
        </w:tc>
        <w:tc>
          <w:tcPr>
            <w:tcW w:w="2437" w:type="dxa"/>
            <w:tcBorders>
              <w:top w:val="nil"/>
              <w:left w:val="single" w:color="auto" w:sz="4" w:space="0"/>
              <w:bottom w:val="nil"/>
              <w:right w:val="nil"/>
            </w:tcBorders>
            <w:vAlign w:val="center"/>
          </w:tcPr>
          <w:p w14:paraId="68A2216F">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1668</w:t>
            </w:r>
          </w:p>
        </w:tc>
      </w:tr>
      <w:tr w14:paraId="3D85F97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415" w:type="dxa"/>
            <w:tcBorders>
              <w:top w:val="nil"/>
              <w:left w:val="nil"/>
              <w:bottom w:val="nil"/>
              <w:right w:val="single" w:color="auto" w:sz="4" w:space="0"/>
            </w:tcBorders>
            <w:vAlign w:val="center"/>
          </w:tcPr>
          <w:p w14:paraId="5892E180">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bCs/>
                <w:color w:val="auto"/>
                <w:sz w:val="21"/>
                <w:szCs w:val="21"/>
              </w:rPr>
            </w:pPr>
            <w:r>
              <w:rPr>
                <w:rFonts w:hint="eastAsia" w:asciiTheme="minorEastAsia" w:hAnsiTheme="minorEastAsia" w:eastAsiaTheme="minorEastAsia" w:cstheme="minorEastAsia"/>
                <w:bCs/>
                <w:color w:val="auto"/>
                <w:kern w:val="0"/>
                <w:sz w:val="21"/>
                <w:szCs w:val="21"/>
              </w:rPr>
              <w:t>港澳台投资企业</w:t>
            </w:r>
          </w:p>
        </w:tc>
        <w:tc>
          <w:tcPr>
            <w:tcW w:w="2989" w:type="dxa"/>
            <w:tcBorders>
              <w:top w:val="nil"/>
              <w:left w:val="single" w:color="auto" w:sz="4" w:space="0"/>
              <w:bottom w:val="nil"/>
              <w:right w:val="single" w:color="auto" w:sz="4" w:space="0"/>
            </w:tcBorders>
            <w:vAlign w:val="center"/>
          </w:tcPr>
          <w:p w14:paraId="3C0394C4">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22</w:t>
            </w:r>
          </w:p>
        </w:tc>
        <w:tc>
          <w:tcPr>
            <w:tcW w:w="2437" w:type="dxa"/>
            <w:tcBorders>
              <w:top w:val="nil"/>
              <w:left w:val="single" w:color="auto" w:sz="4" w:space="0"/>
              <w:bottom w:val="nil"/>
              <w:right w:val="nil"/>
            </w:tcBorders>
            <w:vAlign w:val="center"/>
          </w:tcPr>
          <w:p w14:paraId="13B3ADD0">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79</w:t>
            </w:r>
          </w:p>
        </w:tc>
      </w:tr>
      <w:tr w14:paraId="5D797C6C">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415" w:type="dxa"/>
            <w:tcBorders>
              <w:top w:val="nil"/>
              <w:left w:val="nil"/>
              <w:bottom w:val="nil"/>
              <w:right w:val="single" w:color="auto" w:sz="4" w:space="0"/>
            </w:tcBorders>
            <w:vAlign w:val="center"/>
          </w:tcPr>
          <w:p w14:paraId="678E2D02">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bCs/>
                <w:color w:val="auto"/>
                <w:sz w:val="21"/>
                <w:szCs w:val="21"/>
              </w:rPr>
            </w:pPr>
            <w:r>
              <w:rPr>
                <w:rFonts w:hint="eastAsia" w:asciiTheme="minorEastAsia" w:hAnsiTheme="minorEastAsia" w:eastAsiaTheme="minorEastAsia" w:cstheme="minorEastAsia"/>
                <w:bCs/>
                <w:color w:val="auto"/>
                <w:kern w:val="0"/>
                <w:sz w:val="21"/>
                <w:szCs w:val="21"/>
              </w:rPr>
              <w:t>外商投资企业</w:t>
            </w:r>
          </w:p>
        </w:tc>
        <w:tc>
          <w:tcPr>
            <w:tcW w:w="2989" w:type="dxa"/>
            <w:tcBorders>
              <w:top w:val="nil"/>
              <w:left w:val="single" w:color="auto" w:sz="4" w:space="0"/>
              <w:bottom w:val="nil"/>
              <w:right w:val="single" w:color="auto" w:sz="4" w:space="0"/>
            </w:tcBorders>
            <w:vAlign w:val="center"/>
          </w:tcPr>
          <w:p w14:paraId="0470880D">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1</w:t>
            </w:r>
          </w:p>
        </w:tc>
        <w:tc>
          <w:tcPr>
            <w:tcW w:w="2437" w:type="dxa"/>
            <w:tcBorders>
              <w:top w:val="nil"/>
              <w:left w:val="single" w:color="auto" w:sz="4" w:space="0"/>
              <w:bottom w:val="nil"/>
              <w:right w:val="nil"/>
            </w:tcBorders>
            <w:vAlign w:val="center"/>
          </w:tcPr>
          <w:p w14:paraId="237391FC">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2</w:t>
            </w:r>
          </w:p>
        </w:tc>
      </w:tr>
      <w:tr w14:paraId="3D077DD5">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415" w:type="dxa"/>
            <w:tcBorders>
              <w:top w:val="nil"/>
              <w:left w:val="nil"/>
              <w:bottom w:val="single" w:color="auto" w:sz="12" w:space="0"/>
              <w:right w:val="single" w:color="auto" w:sz="4" w:space="0"/>
            </w:tcBorders>
            <w:vAlign w:val="center"/>
          </w:tcPr>
          <w:p w14:paraId="2E13677F">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bCs/>
                <w:color w:val="auto"/>
                <w:kern w:val="0"/>
                <w:sz w:val="21"/>
                <w:szCs w:val="21"/>
              </w:rPr>
            </w:pPr>
            <w:r>
              <w:rPr>
                <w:rFonts w:hint="eastAsia" w:asciiTheme="minorEastAsia" w:hAnsiTheme="minorEastAsia" w:eastAsiaTheme="minorEastAsia" w:cstheme="minorEastAsia"/>
                <w:bCs/>
                <w:color w:val="auto"/>
                <w:kern w:val="0"/>
                <w:sz w:val="21"/>
                <w:szCs w:val="21"/>
              </w:rPr>
              <w:t>其他统计类别</w:t>
            </w:r>
          </w:p>
        </w:tc>
        <w:tc>
          <w:tcPr>
            <w:tcW w:w="2989" w:type="dxa"/>
            <w:tcBorders>
              <w:top w:val="nil"/>
              <w:left w:val="single" w:color="auto" w:sz="4" w:space="0"/>
              <w:bottom w:val="single" w:color="auto" w:sz="12" w:space="0"/>
              <w:right w:val="single" w:color="auto" w:sz="4" w:space="0"/>
            </w:tcBorders>
            <w:vAlign w:val="center"/>
          </w:tcPr>
          <w:p w14:paraId="6AE68B2D">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
                <w:bCs/>
                <w:color w:val="auto"/>
                <w:sz w:val="21"/>
                <w:szCs w:val="21"/>
                <w:lang w:eastAsia="zh-CN"/>
              </w:rPr>
              <w:t>—</w:t>
            </w:r>
          </w:p>
        </w:tc>
        <w:tc>
          <w:tcPr>
            <w:tcW w:w="2437" w:type="dxa"/>
            <w:tcBorders>
              <w:top w:val="nil"/>
              <w:left w:val="single" w:color="auto" w:sz="4" w:space="0"/>
              <w:bottom w:val="single" w:color="auto" w:sz="12" w:space="0"/>
              <w:right w:val="nil"/>
            </w:tcBorders>
            <w:vAlign w:val="center"/>
          </w:tcPr>
          <w:p w14:paraId="0C5FBF81">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
                <w:bCs/>
                <w:color w:val="auto"/>
                <w:sz w:val="21"/>
                <w:szCs w:val="21"/>
                <w:lang w:eastAsia="zh-CN"/>
              </w:rPr>
              <w:t>—</w:t>
            </w:r>
          </w:p>
        </w:tc>
      </w:tr>
    </w:tbl>
    <w:p w14:paraId="38009082">
      <w:pPr>
        <w:keepNext w:val="0"/>
        <w:keepLines w:val="0"/>
        <w:pageBreakBefore w:val="0"/>
        <w:kinsoku/>
        <w:wordWrap/>
        <w:overflowPunct/>
        <w:topLinePunct w:val="0"/>
        <w:autoSpaceDE/>
        <w:autoSpaceDN/>
        <w:bidi w:val="0"/>
        <w:adjustRightInd/>
        <w:snapToGrid/>
        <w:spacing w:line="556"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（二）主要经济指标</w:t>
      </w:r>
    </w:p>
    <w:p w14:paraId="54EC6EBF">
      <w:pPr>
        <w:pStyle w:val="2"/>
        <w:keepNext w:val="0"/>
        <w:keepLines w:val="0"/>
        <w:pageBreakBefore w:val="0"/>
        <w:widowControl w:val="0"/>
        <w:kinsoku/>
        <w:wordWrap/>
        <w:overflowPunct/>
        <w:topLinePunct w:val="0"/>
        <w:autoSpaceDE/>
        <w:autoSpaceDN/>
        <w:bidi w:val="0"/>
        <w:adjustRightInd/>
        <w:snapToGrid/>
        <w:spacing w:beforeLines="0" w:line="556"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2023年末，科学研究和技术服务业企业法人单位资产总计1867547.7万元，比2018年末增长11454.3%；负债合计1485586.4万元，比2018年末增长21113.6%。</w:t>
      </w:r>
    </w:p>
    <w:p w14:paraId="6BA23F5C">
      <w:pPr>
        <w:pStyle w:val="2"/>
        <w:keepNext w:val="0"/>
        <w:keepLines w:val="0"/>
        <w:pageBreakBefore w:val="0"/>
        <w:widowControl w:val="0"/>
        <w:kinsoku/>
        <w:wordWrap/>
        <w:overflowPunct/>
        <w:topLinePunct w:val="0"/>
        <w:autoSpaceDE/>
        <w:autoSpaceDN/>
        <w:bidi w:val="0"/>
        <w:adjustRightInd/>
        <w:snapToGrid/>
        <w:spacing w:beforeLines="0" w:line="556"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2023年，科学研究和技术服务业企业法人单位全年实现营业收入108316.3万元，比2018年增长1054.6%（详见表5-3）。</w:t>
      </w:r>
    </w:p>
    <w:p w14:paraId="217B746A">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556" w:lineRule="exact"/>
        <w:ind w:left="6" w:leftChars="0" w:right="6" w:firstLine="0" w:firstLineChars="0"/>
        <w:jc w:val="center"/>
        <w:textAlignment w:val="auto"/>
        <w:rPr>
          <w:rFonts w:hint="eastAsia" w:ascii="宋体" w:hAnsi="宋体" w:eastAsia="宋体" w:cs="宋体"/>
          <w:b/>
          <w:i w:val="0"/>
          <w:caps w:val="0"/>
          <w:color w:val="auto"/>
          <w:spacing w:val="0"/>
          <w:kern w:val="0"/>
          <w:sz w:val="24"/>
          <w:szCs w:val="24"/>
          <w:highlight w:val="none"/>
          <w:lang w:val="en-US" w:eastAsia="zh-CN"/>
        </w:rPr>
      </w:pPr>
      <w:r>
        <w:rPr>
          <w:rFonts w:hint="eastAsia" w:ascii="宋体" w:hAnsi="宋体" w:eastAsia="宋体" w:cs="宋体"/>
          <w:b/>
          <w:i w:val="0"/>
          <w:caps w:val="0"/>
          <w:color w:val="auto"/>
          <w:spacing w:val="0"/>
          <w:kern w:val="0"/>
          <w:sz w:val="24"/>
          <w:szCs w:val="24"/>
          <w:highlight w:val="none"/>
          <w:lang w:val="en-US" w:eastAsia="zh-CN"/>
        </w:rPr>
        <w:t>表5-3　按行业大类分组的科学研究和技术服务业企业法人单位主要经济指标</w:t>
      </w:r>
    </w:p>
    <w:tbl>
      <w:tblPr>
        <w:tblStyle w:val="8"/>
        <w:tblW w:w="8764"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4049"/>
        <w:gridCol w:w="1572"/>
        <w:gridCol w:w="1572"/>
        <w:gridCol w:w="1571"/>
      </w:tblGrid>
      <w:tr w14:paraId="4B7CFD80">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62" w:hRule="atLeast"/>
          <w:jc w:val="center"/>
        </w:trPr>
        <w:tc>
          <w:tcPr>
            <w:tcW w:w="4049" w:type="dxa"/>
            <w:tcBorders>
              <w:top w:val="single" w:color="auto" w:sz="12" w:space="0"/>
              <w:left w:val="nil"/>
              <w:bottom w:val="single" w:color="auto" w:sz="4" w:space="0"/>
              <w:right w:val="single" w:color="auto" w:sz="4" w:space="0"/>
            </w:tcBorders>
            <w:vAlign w:val="center"/>
          </w:tcPr>
          <w:p w14:paraId="1ACCA238">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color w:val="auto"/>
                <w:sz w:val="21"/>
                <w:szCs w:val="21"/>
              </w:rPr>
            </w:pPr>
          </w:p>
        </w:tc>
        <w:tc>
          <w:tcPr>
            <w:tcW w:w="1572" w:type="dxa"/>
            <w:tcBorders>
              <w:top w:val="single" w:color="auto" w:sz="12" w:space="0"/>
              <w:left w:val="single" w:color="auto" w:sz="4" w:space="0"/>
              <w:bottom w:val="single" w:color="auto" w:sz="4" w:space="0"/>
              <w:right w:val="single" w:color="auto" w:sz="4" w:space="0"/>
            </w:tcBorders>
            <w:vAlign w:val="center"/>
          </w:tcPr>
          <w:p w14:paraId="59EDC7E2">
            <w:pPr>
              <w:keepNext w:val="0"/>
              <w:keepLines w:val="0"/>
              <w:pageBreakBefore w:val="0"/>
              <w:widowControl w:val="0"/>
              <w:kinsoku/>
              <w:wordWrap/>
              <w:overflowPunct/>
              <w:topLinePunct w:val="0"/>
              <w:autoSpaceDE/>
              <w:autoSpaceDN/>
              <w:bidi w:val="0"/>
              <w:adjustRightInd/>
              <w:snapToGrid w:val="0"/>
              <w:spacing w:line="30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资产总计</w:t>
            </w:r>
          </w:p>
          <w:p w14:paraId="163051AF">
            <w:pPr>
              <w:keepNext w:val="0"/>
              <w:keepLines w:val="0"/>
              <w:pageBreakBefore w:val="0"/>
              <w:widowControl w:val="0"/>
              <w:kinsoku/>
              <w:wordWrap/>
              <w:overflowPunct/>
              <w:topLinePunct w:val="0"/>
              <w:autoSpaceDE/>
              <w:autoSpaceDN/>
              <w:bidi w:val="0"/>
              <w:adjustRightInd/>
              <w:snapToGrid w:val="0"/>
              <w:spacing w:line="30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（万元）</w:t>
            </w:r>
          </w:p>
        </w:tc>
        <w:tc>
          <w:tcPr>
            <w:tcW w:w="1572" w:type="dxa"/>
            <w:tcBorders>
              <w:top w:val="single" w:color="auto" w:sz="12" w:space="0"/>
              <w:left w:val="single" w:color="auto" w:sz="4" w:space="0"/>
              <w:bottom w:val="single" w:color="auto" w:sz="4" w:space="0"/>
              <w:right w:val="single" w:color="auto" w:sz="4" w:space="0"/>
            </w:tcBorders>
            <w:vAlign w:val="center"/>
          </w:tcPr>
          <w:p w14:paraId="3DAF5F23">
            <w:pPr>
              <w:keepNext w:val="0"/>
              <w:keepLines w:val="0"/>
              <w:pageBreakBefore w:val="0"/>
              <w:widowControl w:val="0"/>
              <w:kinsoku/>
              <w:wordWrap/>
              <w:overflowPunct/>
              <w:topLinePunct w:val="0"/>
              <w:autoSpaceDE/>
              <w:autoSpaceDN/>
              <w:bidi w:val="0"/>
              <w:adjustRightInd/>
              <w:snapToGrid w:val="0"/>
              <w:spacing w:line="30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负债合计</w:t>
            </w:r>
          </w:p>
          <w:p w14:paraId="26B70C00">
            <w:pPr>
              <w:keepNext w:val="0"/>
              <w:keepLines w:val="0"/>
              <w:pageBreakBefore w:val="0"/>
              <w:widowControl w:val="0"/>
              <w:kinsoku/>
              <w:wordWrap/>
              <w:overflowPunct/>
              <w:topLinePunct w:val="0"/>
              <w:autoSpaceDE/>
              <w:autoSpaceDN/>
              <w:bidi w:val="0"/>
              <w:adjustRightInd/>
              <w:snapToGrid w:val="0"/>
              <w:spacing w:line="30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（万元）</w:t>
            </w:r>
          </w:p>
        </w:tc>
        <w:tc>
          <w:tcPr>
            <w:tcW w:w="1571" w:type="dxa"/>
            <w:tcBorders>
              <w:top w:val="single" w:color="auto" w:sz="12" w:space="0"/>
              <w:left w:val="single" w:color="auto" w:sz="4" w:space="0"/>
              <w:bottom w:val="single" w:color="auto" w:sz="4" w:space="0"/>
              <w:right w:val="nil"/>
            </w:tcBorders>
            <w:vAlign w:val="center"/>
          </w:tcPr>
          <w:p w14:paraId="266AAA34">
            <w:pPr>
              <w:keepNext w:val="0"/>
              <w:keepLines w:val="0"/>
              <w:pageBreakBefore w:val="0"/>
              <w:widowControl w:val="0"/>
              <w:kinsoku/>
              <w:wordWrap/>
              <w:overflowPunct/>
              <w:topLinePunct w:val="0"/>
              <w:autoSpaceDE/>
              <w:autoSpaceDN/>
              <w:bidi w:val="0"/>
              <w:adjustRightInd/>
              <w:snapToGrid w:val="0"/>
              <w:spacing w:line="30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营业收入</w:t>
            </w:r>
          </w:p>
          <w:p w14:paraId="59F2432F">
            <w:pPr>
              <w:keepNext w:val="0"/>
              <w:keepLines w:val="0"/>
              <w:pageBreakBefore w:val="0"/>
              <w:widowControl w:val="0"/>
              <w:kinsoku/>
              <w:wordWrap/>
              <w:overflowPunct/>
              <w:topLinePunct w:val="0"/>
              <w:autoSpaceDE/>
              <w:autoSpaceDN/>
              <w:bidi w:val="0"/>
              <w:adjustRightInd/>
              <w:snapToGrid w:val="0"/>
              <w:spacing w:line="30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（万元）</w:t>
            </w:r>
          </w:p>
        </w:tc>
      </w:tr>
      <w:tr w14:paraId="3D73A79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049" w:type="dxa"/>
            <w:tcBorders>
              <w:top w:val="single" w:color="auto" w:sz="4" w:space="0"/>
              <w:left w:val="nil"/>
              <w:bottom w:val="nil"/>
              <w:right w:val="single" w:color="auto" w:sz="4" w:space="0"/>
            </w:tcBorders>
            <w:vAlign w:val="center"/>
          </w:tcPr>
          <w:p w14:paraId="6FA5BF73">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
                <w:color w:val="auto"/>
                <w:kern w:val="0"/>
                <w:sz w:val="21"/>
                <w:szCs w:val="21"/>
              </w:rPr>
              <w:t>合　计</w:t>
            </w:r>
          </w:p>
        </w:tc>
        <w:tc>
          <w:tcPr>
            <w:tcW w:w="1572" w:type="dxa"/>
            <w:tcBorders>
              <w:top w:val="single" w:color="auto" w:sz="4" w:space="0"/>
              <w:left w:val="single" w:color="auto" w:sz="4" w:space="0"/>
              <w:bottom w:val="nil"/>
              <w:right w:val="single" w:color="auto" w:sz="4" w:space="0"/>
            </w:tcBorders>
            <w:vAlign w:val="center"/>
          </w:tcPr>
          <w:p w14:paraId="38552D4F">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color w:val="auto"/>
                <w:sz w:val="21"/>
                <w:szCs w:val="21"/>
              </w:rPr>
              <w:t xml:space="preserve">1867547.7 </w:t>
            </w:r>
          </w:p>
        </w:tc>
        <w:tc>
          <w:tcPr>
            <w:tcW w:w="1572" w:type="dxa"/>
            <w:tcBorders>
              <w:top w:val="single" w:color="auto" w:sz="4" w:space="0"/>
              <w:left w:val="single" w:color="auto" w:sz="4" w:space="0"/>
              <w:bottom w:val="nil"/>
              <w:right w:val="single" w:color="auto" w:sz="4" w:space="0"/>
            </w:tcBorders>
            <w:vAlign w:val="center"/>
          </w:tcPr>
          <w:p w14:paraId="4CE6E299">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color w:val="auto"/>
                <w:sz w:val="21"/>
                <w:szCs w:val="21"/>
              </w:rPr>
              <w:t xml:space="preserve">1485586.4 </w:t>
            </w:r>
          </w:p>
        </w:tc>
        <w:tc>
          <w:tcPr>
            <w:tcW w:w="1571" w:type="dxa"/>
            <w:tcBorders>
              <w:top w:val="single" w:color="auto" w:sz="4" w:space="0"/>
              <w:left w:val="single" w:color="auto" w:sz="4" w:space="0"/>
              <w:bottom w:val="nil"/>
              <w:right w:val="nil"/>
            </w:tcBorders>
            <w:vAlign w:val="center"/>
          </w:tcPr>
          <w:p w14:paraId="1B2CB318">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color w:val="auto"/>
                <w:sz w:val="21"/>
                <w:szCs w:val="21"/>
              </w:rPr>
              <w:t xml:space="preserve">108316.3 </w:t>
            </w:r>
          </w:p>
        </w:tc>
      </w:tr>
      <w:tr w14:paraId="3C70F42C">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049" w:type="dxa"/>
            <w:tcBorders>
              <w:top w:val="nil"/>
              <w:left w:val="nil"/>
              <w:bottom w:val="nil"/>
              <w:right w:val="single" w:color="auto" w:sz="4" w:space="0"/>
            </w:tcBorders>
            <w:vAlign w:val="center"/>
          </w:tcPr>
          <w:p w14:paraId="5486CADA">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研究和试验发展</w:t>
            </w:r>
          </w:p>
        </w:tc>
        <w:tc>
          <w:tcPr>
            <w:tcW w:w="1572" w:type="dxa"/>
            <w:tcBorders>
              <w:top w:val="nil"/>
              <w:left w:val="single" w:color="auto" w:sz="4" w:space="0"/>
              <w:bottom w:val="nil"/>
              <w:right w:val="single" w:color="auto" w:sz="4" w:space="0"/>
            </w:tcBorders>
            <w:vAlign w:val="center"/>
          </w:tcPr>
          <w:p w14:paraId="6E488F3B">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14099.</w:t>
            </w:r>
            <w:r>
              <w:rPr>
                <w:rFonts w:hint="eastAsia" w:asciiTheme="minorEastAsia" w:hAnsiTheme="minorEastAsia" w:cstheme="minorEastAsia"/>
                <w:color w:val="auto"/>
                <w:sz w:val="21"/>
                <w:szCs w:val="21"/>
                <w:lang w:val="en-US" w:eastAsia="zh-CN"/>
              </w:rPr>
              <w:t>2</w:t>
            </w:r>
            <w:r>
              <w:rPr>
                <w:rFonts w:hint="eastAsia" w:asciiTheme="minorEastAsia" w:hAnsiTheme="minorEastAsia" w:eastAsiaTheme="minorEastAsia" w:cstheme="minorEastAsia"/>
                <w:color w:val="auto"/>
                <w:sz w:val="21"/>
                <w:szCs w:val="21"/>
              </w:rPr>
              <w:t xml:space="preserve"> </w:t>
            </w:r>
          </w:p>
        </w:tc>
        <w:tc>
          <w:tcPr>
            <w:tcW w:w="1572" w:type="dxa"/>
            <w:tcBorders>
              <w:top w:val="nil"/>
              <w:left w:val="single" w:color="auto" w:sz="4" w:space="0"/>
              <w:bottom w:val="nil"/>
              <w:right w:val="single" w:color="auto" w:sz="4" w:space="0"/>
            </w:tcBorders>
            <w:vAlign w:val="center"/>
          </w:tcPr>
          <w:p w14:paraId="46BDE711">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12435.2 </w:t>
            </w:r>
          </w:p>
        </w:tc>
        <w:tc>
          <w:tcPr>
            <w:tcW w:w="1571" w:type="dxa"/>
            <w:tcBorders>
              <w:top w:val="nil"/>
              <w:left w:val="single" w:color="auto" w:sz="4" w:space="0"/>
              <w:bottom w:val="nil"/>
              <w:right w:val="nil"/>
            </w:tcBorders>
            <w:vAlign w:val="center"/>
          </w:tcPr>
          <w:p w14:paraId="2DE10A05">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2695.</w:t>
            </w:r>
            <w:r>
              <w:rPr>
                <w:rFonts w:hint="eastAsia" w:asciiTheme="minorEastAsia" w:hAnsiTheme="minorEastAsia" w:cstheme="minorEastAsia"/>
                <w:color w:val="auto"/>
                <w:sz w:val="21"/>
                <w:szCs w:val="21"/>
                <w:lang w:val="en-US" w:eastAsia="zh-CN"/>
              </w:rPr>
              <w:t>7</w:t>
            </w:r>
            <w:r>
              <w:rPr>
                <w:rFonts w:hint="eastAsia" w:asciiTheme="minorEastAsia" w:hAnsiTheme="minorEastAsia" w:eastAsiaTheme="minorEastAsia" w:cstheme="minorEastAsia"/>
                <w:color w:val="auto"/>
                <w:sz w:val="21"/>
                <w:szCs w:val="21"/>
              </w:rPr>
              <w:t xml:space="preserve"> </w:t>
            </w:r>
          </w:p>
        </w:tc>
      </w:tr>
      <w:tr w14:paraId="435F4D04">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049" w:type="dxa"/>
            <w:tcBorders>
              <w:top w:val="nil"/>
              <w:left w:val="nil"/>
              <w:bottom w:val="nil"/>
              <w:right w:val="single" w:color="auto" w:sz="4" w:space="0"/>
            </w:tcBorders>
            <w:vAlign w:val="center"/>
          </w:tcPr>
          <w:p w14:paraId="1CBD9FB1">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专业技术服务业</w:t>
            </w:r>
          </w:p>
        </w:tc>
        <w:tc>
          <w:tcPr>
            <w:tcW w:w="1572" w:type="dxa"/>
            <w:tcBorders>
              <w:top w:val="nil"/>
              <w:left w:val="single" w:color="auto" w:sz="4" w:space="0"/>
              <w:bottom w:val="nil"/>
              <w:right w:val="single" w:color="auto" w:sz="4" w:space="0"/>
            </w:tcBorders>
            <w:vAlign w:val="center"/>
          </w:tcPr>
          <w:p w14:paraId="03C1E98F">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1819705.</w:t>
            </w:r>
            <w:r>
              <w:rPr>
                <w:rFonts w:hint="eastAsia" w:asciiTheme="minorEastAsia" w:hAnsiTheme="minorEastAsia" w:cstheme="minorEastAsia"/>
                <w:color w:val="auto"/>
                <w:sz w:val="21"/>
                <w:szCs w:val="21"/>
                <w:lang w:val="en-US" w:eastAsia="zh-CN"/>
              </w:rPr>
              <w:t>8</w:t>
            </w:r>
            <w:r>
              <w:rPr>
                <w:rFonts w:hint="eastAsia" w:asciiTheme="minorEastAsia" w:hAnsiTheme="minorEastAsia" w:eastAsiaTheme="minorEastAsia" w:cstheme="minorEastAsia"/>
                <w:color w:val="auto"/>
                <w:sz w:val="21"/>
                <w:szCs w:val="21"/>
              </w:rPr>
              <w:t xml:space="preserve"> </w:t>
            </w:r>
          </w:p>
        </w:tc>
        <w:tc>
          <w:tcPr>
            <w:tcW w:w="1572" w:type="dxa"/>
            <w:tcBorders>
              <w:top w:val="nil"/>
              <w:left w:val="single" w:color="auto" w:sz="4" w:space="0"/>
              <w:bottom w:val="nil"/>
              <w:right w:val="single" w:color="auto" w:sz="4" w:space="0"/>
            </w:tcBorders>
            <w:vAlign w:val="center"/>
          </w:tcPr>
          <w:p w14:paraId="095D7E49">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1446128.2 </w:t>
            </w:r>
          </w:p>
        </w:tc>
        <w:tc>
          <w:tcPr>
            <w:tcW w:w="1571" w:type="dxa"/>
            <w:tcBorders>
              <w:top w:val="nil"/>
              <w:left w:val="single" w:color="auto" w:sz="4" w:space="0"/>
              <w:bottom w:val="nil"/>
              <w:right w:val="nil"/>
            </w:tcBorders>
            <w:vAlign w:val="center"/>
          </w:tcPr>
          <w:p w14:paraId="2FE57124">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81792.</w:t>
            </w:r>
            <w:r>
              <w:rPr>
                <w:rFonts w:hint="eastAsia" w:asciiTheme="minorEastAsia" w:hAnsiTheme="minorEastAsia" w:cstheme="minorEastAsia"/>
                <w:color w:val="auto"/>
                <w:sz w:val="21"/>
                <w:szCs w:val="21"/>
                <w:lang w:val="en-US" w:eastAsia="zh-CN"/>
              </w:rPr>
              <w:t>8</w:t>
            </w:r>
            <w:r>
              <w:rPr>
                <w:rFonts w:hint="eastAsia" w:asciiTheme="minorEastAsia" w:hAnsiTheme="minorEastAsia" w:eastAsiaTheme="minorEastAsia" w:cstheme="minorEastAsia"/>
                <w:color w:val="auto"/>
                <w:sz w:val="21"/>
                <w:szCs w:val="21"/>
              </w:rPr>
              <w:t xml:space="preserve"> </w:t>
            </w:r>
          </w:p>
        </w:tc>
      </w:tr>
      <w:tr w14:paraId="70FE727A">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049" w:type="dxa"/>
            <w:tcBorders>
              <w:top w:val="nil"/>
              <w:left w:val="nil"/>
              <w:bottom w:val="single" w:color="auto" w:sz="12" w:space="0"/>
              <w:right w:val="single" w:color="auto" w:sz="4" w:space="0"/>
            </w:tcBorders>
            <w:vAlign w:val="center"/>
          </w:tcPr>
          <w:p w14:paraId="2E5ABFF8">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科技推广和应用服务业</w:t>
            </w:r>
          </w:p>
        </w:tc>
        <w:tc>
          <w:tcPr>
            <w:tcW w:w="1572" w:type="dxa"/>
            <w:tcBorders>
              <w:top w:val="nil"/>
              <w:left w:val="single" w:color="auto" w:sz="4" w:space="0"/>
              <w:bottom w:val="single" w:color="auto" w:sz="12" w:space="0"/>
              <w:right w:val="single" w:color="auto" w:sz="4" w:space="0"/>
            </w:tcBorders>
            <w:vAlign w:val="center"/>
          </w:tcPr>
          <w:p w14:paraId="397E5DC4">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33742.</w:t>
            </w:r>
            <w:r>
              <w:rPr>
                <w:rFonts w:hint="eastAsia" w:asciiTheme="minorEastAsia" w:hAnsiTheme="minorEastAsia" w:cstheme="minorEastAsia"/>
                <w:color w:val="auto"/>
                <w:sz w:val="21"/>
                <w:szCs w:val="21"/>
                <w:lang w:val="en-US" w:eastAsia="zh-CN"/>
              </w:rPr>
              <w:t>8</w:t>
            </w:r>
            <w:r>
              <w:rPr>
                <w:rFonts w:hint="eastAsia" w:asciiTheme="minorEastAsia" w:hAnsiTheme="minorEastAsia" w:eastAsiaTheme="minorEastAsia" w:cstheme="minorEastAsia"/>
                <w:color w:val="auto"/>
                <w:sz w:val="21"/>
                <w:szCs w:val="21"/>
              </w:rPr>
              <w:t xml:space="preserve"> </w:t>
            </w:r>
          </w:p>
        </w:tc>
        <w:tc>
          <w:tcPr>
            <w:tcW w:w="1572" w:type="dxa"/>
            <w:tcBorders>
              <w:top w:val="nil"/>
              <w:left w:val="single" w:color="auto" w:sz="4" w:space="0"/>
              <w:bottom w:val="single" w:color="auto" w:sz="12" w:space="0"/>
              <w:right w:val="single" w:color="auto" w:sz="4" w:space="0"/>
            </w:tcBorders>
            <w:vAlign w:val="center"/>
          </w:tcPr>
          <w:p w14:paraId="29D5998B">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2702</w:t>
            </w:r>
            <w:r>
              <w:rPr>
                <w:rFonts w:hint="eastAsia" w:asciiTheme="minorEastAsia" w:hAnsiTheme="minorEastAsia" w:cstheme="minorEastAsia"/>
                <w:color w:val="auto"/>
                <w:sz w:val="21"/>
                <w:szCs w:val="21"/>
                <w:lang w:val="en-US" w:eastAsia="zh-CN"/>
              </w:rPr>
              <w:t>3</w:t>
            </w:r>
            <w:r>
              <w:rPr>
                <w:rFonts w:hint="eastAsia" w:asciiTheme="minorEastAsia" w:hAnsiTheme="minorEastAsia" w:eastAsiaTheme="minorEastAsia" w:cstheme="minorEastAsia"/>
                <w:color w:val="auto"/>
                <w:sz w:val="21"/>
                <w:szCs w:val="21"/>
              </w:rPr>
              <w:t>.</w:t>
            </w:r>
            <w:r>
              <w:rPr>
                <w:rFonts w:hint="eastAsia" w:asciiTheme="minorEastAsia" w:hAnsiTheme="minorEastAsia" w:cstheme="minorEastAsia"/>
                <w:color w:val="auto"/>
                <w:sz w:val="21"/>
                <w:szCs w:val="21"/>
                <w:lang w:val="en-US" w:eastAsia="zh-CN"/>
              </w:rPr>
              <w:t>0</w:t>
            </w:r>
            <w:r>
              <w:rPr>
                <w:rFonts w:hint="eastAsia" w:asciiTheme="minorEastAsia" w:hAnsiTheme="minorEastAsia" w:eastAsiaTheme="minorEastAsia" w:cstheme="minorEastAsia"/>
                <w:color w:val="auto"/>
                <w:sz w:val="21"/>
                <w:szCs w:val="21"/>
              </w:rPr>
              <w:t xml:space="preserve"> </w:t>
            </w:r>
          </w:p>
        </w:tc>
        <w:tc>
          <w:tcPr>
            <w:tcW w:w="1571" w:type="dxa"/>
            <w:tcBorders>
              <w:top w:val="nil"/>
              <w:left w:val="single" w:color="auto" w:sz="4" w:space="0"/>
              <w:bottom w:val="single" w:color="auto" w:sz="12" w:space="0"/>
              <w:right w:val="nil"/>
            </w:tcBorders>
            <w:vAlign w:val="center"/>
          </w:tcPr>
          <w:p w14:paraId="7F8DC0A7">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23827.</w:t>
            </w:r>
            <w:r>
              <w:rPr>
                <w:rFonts w:hint="eastAsia" w:asciiTheme="minorEastAsia" w:hAnsiTheme="minorEastAsia" w:cstheme="minorEastAsia"/>
                <w:color w:val="auto"/>
                <w:sz w:val="21"/>
                <w:szCs w:val="21"/>
                <w:lang w:val="en-US" w:eastAsia="zh-CN"/>
              </w:rPr>
              <w:t>9</w:t>
            </w:r>
            <w:r>
              <w:rPr>
                <w:rFonts w:hint="eastAsia" w:asciiTheme="minorEastAsia" w:hAnsiTheme="minorEastAsia" w:eastAsiaTheme="minorEastAsia" w:cstheme="minorEastAsia"/>
                <w:color w:val="auto"/>
                <w:sz w:val="21"/>
                <w:szCs w:val="21"/>
              </w:rPr>
              <w:t xml:space="preserve"> </w:t>
            </w:r>
          </w:p>
        </w:tc>
      </w:tr>
    </w:tbl>
    <w:p w14:paraId="566DEB37">
      <w:pPr>
        <w:keepNext w:val="0"/>
        <w:keepLines w:val="0"/>
        <w:pageBreakBefore w:val="0"/>
        <w:widowControl w:val="0"/>
        <w:kinsoku/>
        <w:wordWrap/>
        <w:overflowPunct/>
        <w:topLinePunct w:val="0"/>
        <w:autoSpaceDE/>
        <w:autoSpaceDN/>
        <w:bidi w:val="0"/>
        <w:adjustRightInd/>
        <w:snapToGrid/>
        <w:spacing w:line="548" w:lineRule="exact"/>
        <w:ind w:firstLine="640" w:firstLineChars="200"/>
        <w:textAlignment w:val="auto"/>
        <w:outlineLvl w:val="0"/>
        <w:rPr>
          <w:rFonts w:hint="eastAsia" w:ascii="黑体" w:hAnsi="Calibri" w:eastAsia="黑体" w:cs="Times New Roman"/>
          <w:color w:val="auto"/>
          <w:sz w:val="32"/>
          <w:szCs w:val="32"/>
        </w:rPr>
      </w:pPr>
      <w:r>
        <w:rPr>
          <w:rFonts w:hint="eastAsia" w:ascii="黑体" w:hAnsi="Calibri" w:eastAsia="黑体" w:cs="Times New Roman"/>
          <w:color w:val="auto"/>
          <w:sz w:val="32"/>
          <w:szCs w:val="32"/>
        </w:rPr>
        <w:t>二、水利、环境和公共设施管理业</w:t>
      </w:r>
    </w:p>
    <w:p w14:paraId="33CCB01D">
      <w:pPr>
        <w:keepNext w:val="0"/>
        <w:keepLines w:val="0"/>
        <w:pageBreakBefore w:val="0"/>
        <w:widowControl w:val="0"/>
        <w:kinsoku/>
        <w:wordWrap/>
        <w:overflowPunct/>
        <w:topLinePunct w:val="0"/>
        <w:autoSpaceDE/>
        <w:autoSpaceDN/>
        <w:bidi w:val="0"/>
        <w:adjustRightInd/>
        <w:snapToGrid/>
        <w:spacing w:line="548"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（一）法人单位数和从业人员</w:t>
      </w:r>
    </w:p>
    <w:p w14:paraId="7E3D572F">
      <w:pPr>
        <w:pStyle w:val="2"/>
        <w:keepNext w:val="0"/>
        <w:keepLines w:val="0"/>
        <w:pageBreakBefore w:val="0"/>
        <w:widowControl w:val="0"/>
        <w:kinsoku/>
        <w:wordWrap/>
        <w:overflowPunct/>
        <w:topLinePunct w:val="0"/>
        <w:autoSpaceDE/>
        <w:autoSpaceDN/>
        <w:bidi w:val="0"/>
        <w:adjustRightInd/>
        <w:snapToGrid/>
        <w:spacing w:beforeLines="0" w:line="54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2023年末，全国共有水利、环境和公共设施管理业法人单位42个，从业人员783人，分别比2018年末增长50.0%和下降8.8%。</w:t>
      </w:r>
    </w:p>
    <w:p w14:paraId="2B87EEEB">
      <w:pPr>
        <w:keepNext w:val="0"/>
        <w:keepLines w:val="0"/>
        <w:pageBreakBefore w:val="0"/>
        <w:widowControl w:val="0"/>
        <w:kinsoku/>
        <w:wordWrap/>
        <w:overflowPunct/>
        <w:topLinePunct w:val="0"/>
        <w:autoSpaceDE/>
        <w:autoSpaceDN/>
        <w:bidi w:val="0"/>
        <w:adjustRightInd/>
        <w:snapToGrid/>
        <w:spacing w:line="556"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（二）主要经济指标</w:t>
      </w:r>
    </w:p>
    <w:p w14:paraId="0833F613">
      <w:pPr>
        <w:pStyle w:val="2"/>
        <w:keepNext w:val="0"/>
        <w:keepLines w:val="0"/>
        <w:pageBreakBefore w:val="0"/>
        <w:widowControl w:val="0"/>
        <w:kinsoku/>
        <w:wordWrap/>
        <w:overflowPunct/>
        <w:topLinePunct w:val="0"/>
        <w:autoSpaceDE/>
        <w:autoSpaceDN/>
        <w:bidi w:val="0"/>
        <w:adjustRightInd/>
        <w:snapToGrid/>
        <w:spacing w:beforeLines="0" w:line="556"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2023年末，水利、环境和公共设施管理业企业法人单位资产总计864669.5万元，比2018年末下降37.6%；负债合计571697.</w:t>
      </w:r>
      <w:r>
        <w:rPr>
          <w:rFonts w:hint="eastAsia" w:ascii="仿宋_GB2312" w:hAnsi="仿宋_GB2312" w:eastAsia="仿宋_GB2312" w:cs="仿宋_GB2312"/>
          <w:color w:val="auto"/>
          <w:sz w:val="32"/>
          <w:szCs w:val="32"/>
          <w:u w:val="none"/>
          <w:lang w:val="en-US" w:eastAsia="zh-CN"/>
        </w:rPr>
        <w:t>3</w:t>
      </w:r>
      <w:r>
        <w:rPr>
          <w:rFonts w:hint="eastAsia" w:ascii="仿宋_GB2312" w:hAnsi="仿宋_GB2312" w:eastAsia="仿宋_GB2312" w:cs="仿宋_GB2312"/>
          <w:color w:val="auto"/>
          <w:sz w:val="32"/>
          <w:szCs w:val="32"/>
          <w:u w:val="none"/>
          <w:lang w:eastAsia="zh-CN"/>
        </w:rPr>
        <w:t>万元，比2018年末下降37.7%。全年实现营业收入47728.0万元，比2018年增长158.6%。</w:t>
      </w:r>
    </w:p>
    <w:p w14:paraId="7C2A8DCD">
      <w:pPr>
        <w:keepNext w:val="0"/>
        <w:keepLines w:val="0"/>
        <w:pageBreakBefore w:val="0"/>
        <w:kinsoku/>
        <w:wordWrap/>
        <w:overflowPunct/>
        <w:topLinePunct w:val="0"/>
        <w:autoSpaceDE/>
        <w:autoSpaceDN/>
        <w:bidi w:val="0"/>
        <w:adjustRightInd/>
        <w:snapToGrid/>
        <w:spacing w:line="560" w:lineRule="exact"/>
        <w:ind w:firstLine="640" w:firstLineChars="200"/>
        <w:textAlignment w:val="auto"/>
        <w:outlineLvl w:val="0"/>
        <w:rPr>
          <w:rFonts w:hint="eastAsia" w:ascii="黑体" w:hAnsi="Calibri" w:eastAsia="黑体" w:cs="Times New Roman"/>
          <w:color w:val="auto"/>
          <w:sz w:val="32"/>
          <w:szCs w:val="32"/>
        </w:rPr>
      </w:pPr>
      <w:r>
        <w:rPr>
          <w:rFonts w:hint="eastAsia" w:ascii="黑体" w:hAnsi="Calibri" w:eastAsia="黑体" w:cs="Times New Roman"/>
          <w:color w:val="auto"/>
          <w:sz w:val="32"/>
          <w:szCs w:val="32"/>
        </w:rPr>
        <w:t>三、居民服务、修理和其他服务业</w:t>
      </w:r>
    </w:p>
    <w:p w14:paraId="3CB8E469">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（一）企业法人单位数和从业人员</w:t>
      </w:r>
    </w:p>
    <w:p w14:paraId="79B06F17">
      <w:pPr>
        <w:pStyle w:val="2"/>
        <w:keepNext w:val="0"/>
        <w:keepLines w:val="0"/>
        <w:pageBreakBefore w:val="0"/>
        <w:widowControl w:val="0"/>
        <w:kinsoku/>
        <w:wordWrap/>
        <w:overflowPunct/>
        <w:topLinePunct w:val="0"/>
        <w:autoSpaceDE/>
        <w:autoSpaceDN/>
        <w:bidi w:val="0"/>
        <w:adjustRightInd/>
        <w:snapToGrid/>
        <w:spacing w:beforeLines="0" w:line="560"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2023年末，全区共有居民服务、修理和其他服务业企业法人单位188个，从业人员1005人，分别比2018年末增长29.7%和下降91.3%（详见表5-4）。</w:t>
      </w:r>
    </w:p>
    <w:p w14:paraId="550606AD">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560" w:lineRule="exact"/>
        <w:ind w:left="6" w:leftChars="0" w:right="6" w:firstLine="0" w:firstLineChars="0"/>
        <w:jc w:val="center"/>
        <w:textAlignment w:val="auto"/>
        <w:rPr>
          <w:rFonts w:hint="eastAsia" w:ascii="宋体" w:hAnsi="宋体" w:eastAsia="宋体" w:cs="宋体"/>
          <w:b/>
          <w:i w:val="0"/>
          <w:caps w:val="0"/>
          <w:color w:val="auto"/>
          <w:spacing w:val="0"/>
          <w:kern w:val="0"/>
          <w:sz w:val="24"/>
          <w:szCs w:val="24"/>
          <w:highlight w:val="none"/>
          <w:lang w:val="en-US" w:eastAsia="zh-CN"/>
        </w:rPr>
      </w:pPr>
      <w:r>
        <w:rPr>
          <w:rFonts w:hint="eastAsia" w:ascii="宋体" w:hAnsi="宋体" w:eastAsia="宋体" w:cs="宋体"/>
          <w:b/>
          <w:i w:val="0"/>
          <w:caps w:val="0"/>
          <w:color w:val="auto"/>
          <w:spacing w:val="0"/>
          <w:kern w:val="0"/>
          <w:sz w:val="24"/>
          <w:szCs w:val="24"/>
          <w:highlight w:val="none"/>
          <w:lang w:val="en-US" w:eastAsia="zh-CN"/>
        </w:rPr>
        <w:t>表5-4　按行业大类分组的居民服务、修理和其他服务业企业法人单位数和从业人员</w:t>
      </w:r>
    </w:p>
    <w:tbl>
      <w:tblPr>
        <w:tblStyle w:val="8"/>
        <w:tblW w:w="8841"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4413"/>
        <w:gridCol w:w="2507"/>
        <w:gridCol w:w="1921"/>
      </w:tblGrid>
      <w:tr w14:paraId="143965F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180" w:hRule="atLeast"/>
          <w:jc w:val="center"/>
        </w:trPr>
        <w:tc>
          <w:tcPr>
            <w:tcW w:w="4413" w:type="dxa"/>
            <w:tcBorders>
              <w:top w:val="single" w:color="auto" w:sz="12" w:space="0"/>
              <w:left w:val="nil"/>
              <w:bottom w:val="single" w:color="auto" w:sz="4" w:space="0"/>
              <w:right w:val="single" w:color="auto" w:sz="4" w:space="0"/>
            </w:tcBorders>
            <w:vAlign w:val="center"/>
          </w:tcPr>
          <w:p w14:paraId="6C4C5AD1">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color w:val="auto"/>
                <w:sz w:val="21"/>
                <w:szCs w:val="21"/>
              </w:rPr>
            </w:pPr>
          </w:p>
        </w:tc>
        <w:tc>
          <w:tcPr>
            <w:tcW w:w="2507" w:type="dxa"/>
            <w:tcBorders>
              <w:top w:val="single" w:color="auto" w:sz="12" w:space="0"/>
              <w:left w:val="single" w:color="auto" w:sz="4" w:space="0"/>
              <w:bottom w:val="single" w:color="auto" w:sz="4" w:space="0"/>
              <w:right w:val="single" w:color="auto" w:sz="4" w:space="0"/>
            </w:tcBorders>
            <w:vAlign w:val="center"/>
          </w:tcPr>
          <w:p w14:paraId="5174C7C4">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kern w:val="0"/>
                <w:sz w:val="21"/>
                <w:szCs w:val="21"/>
              </w:rPr>
            </w:pPr>
            <w:r>
              <w:rPr>
                <w:rFonts w:hint="eastAsia" w:asciiTheme="minorEastAsia" w:hAnsiTheme="minorEastAsia" w:eastAsiaTheme="minorEastAsia" w:cstheme="minorEastAsia"/>
                <w:b/>
                <w:bCs/>
                <w:color w:val="auto"/>
                <w:kern w:val="0"/>
                <w:sz w:val="21"/>
                <w:szCs w:val="21"/>
              </w:rPr>
              <w:t>企业法人单位</w:t>
            </w:r>
          </w:p>
          <w:p w14:paraId="43C98B69">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（个）</w:t>
            </w:r>
          </w:p>
        </w:tc>
        <w:tc>
          <w:tcPr>
            <w:tcW w:w="1921" w:type="dxa"/>
            <w:tcBorders>
              <w:top w:val="single" w:color="auto" w:sz="12" w:space="0"/>
              <w:left w:val="single" w:color="auto" w:sz="4" w:space="0"/>
              <w:bottom w:val="single" w:color="auto" w:sz="4" w:space="0"/>
              <w:right w:val="nil"/>
            </w:tcBorders>
            <w:vAlign w:val="center"/>
          </w:tcPr>
          <w:p w14:paraId="7AFCB0FA">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kern w:val="0"/>
                <w:sz w:val="21"/>
                <w:szCs w:val="21"/>
              </w:rPr>
            </w:pPr>
            <w:r>
              <w:rPr>
                <w:rFonts w:hint="eastAsia" w:asciiTheme="minorEastAsia" w:hAnsiTheme="minorEastAsia" w:eastAsiaTheme="minorEastAsia" w:cstheme="minorEastAsia"/>
                <w:b/>
                <w:bCs/>
                <w:color w:val="auto"/>
                <w:kern w:val="0"/>
                <w:sz w:val="21"/>
                <w:szCs w:val="21"/>
              </w:rPr>
              <w:t>从业人员</w:t>
            </w:r>
          </w:p>
          <w:p w14:paraId="5F6E20CA">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（人）</w:t>
            </w:r>
          </w:p>
        </w:tc>
      </w:tr>
      <w:tr w14:paraId="3BC279F6">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83" w:hRule="atLeast"/>
          <w:jc w:val="center"/>
        </w:trPr>
        <w:tc>
          <w:tcPr>
            <w:tcW w:w="4413" w:type="dxa"/>
            <w:tcBorders>
              <w:top w:val="single" w:color="auto" w:sz="4" w:space="0"/>
              <w:left w:val="nil"/>
              <w:bottom w:val="nil"/>
              <w:right w:val="single" w:color="auto" w:sz="4" w:space="0"/>
            </w:tcBorders>
            <w:vAlign w:val="center"/>
          </w:tcPr>
          <w:p w14:paraId="392E044D">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
                <w:color w:val="auto"/>
                <w:kern w:val="0"/>
                <w:sz w:val="21"/>
                <w:szCs w:val="21"/>
              </w:rPr>
              <w:t>合　计</w:t>
            </w:r>
          </w:p>
        </w:tc>
        <w:tc>
          <w:tcPr>
            <w:tcW w:w="2507" w:type="dxa"/>
            <w:tcBorders>
              <w:top w:val="single" w:color="auto" w:sz="4" w:space="0"/>
              <w:left w:val="single" w:color="auto" w:sz="4" w:space="0"/>
              <w:bottom w:val="nil"/>
              <w:right w:val="single" w:color="auto" w:sz="4" w:space="0"/>
            </w:tcBorders>
            <w:vAlign w:val="center"/>
          </w:tcPr>
          <w:p w14:paraId="42E325EE">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sz w:val="21"/>
                <w:szCs w:val="21"/>
              </w:rPr>
              <w:t>188</w:t>
            </w:r>
          </w:p>
        </w:tc>
        <w:tc>
          <w:tcPr>
            <w:tcW w:w="1921" w:type="dxa"/>
            <w:tcBorders>
              <w:top w:val="single" w:color="auto" w:sz="4" w:space="0"/>
              <w:left w:val="single" w:color="auto" w:sz="4" w:space="0"/>
              <w:bottom w:val="nil"/>
              <w:right w:val="nil"/>
            </w:tcBorders>
            <w:vAlign w:val="center"/>
          </w:tcPr>
          <w:p w14:paraId="72D4FF23">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sz w:val="21"/>
                <w:szCs w:val="21"/>
              </w:rPr>
              <w:t>1005</w:t>
            </w:r>
          </w:p>
        </w:tc>
      </w:tr>
      <w:tr w14:paraId="1033E1C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83" w:hRule="atLeast"/>
          <w:jc w:val="center"/>
        </w:trPr>
        <w:tc>
          <w:tcPr>
            <w:tcW w:w="4413" w:type="dxa"/>
            <w:tcBorders>
              <w:top w:val="nil"/>
              <w:left w:val="nil"/>
              <w:bottom w:val="nil"/>
              <w:right w:val="single" w:color="auto" w:sz="4" w:space="0"/>
            </w:tcBorders>
            <w:vAlign w:val="center"/>
          </w:tcPr>
          <w:p w14:paraId="5FD15868">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居民服务业</w:t>
            </w:r>
          </w:p>
        </w:tc>
        <w:tc>
          <w:tcPr>
            <w:tcW w:w="2507" w:type="dxa"/>
            <w:tcBorders>
              <w:top w:val="nil"/>
              <w:left w:val="single" w:color="auto" w:sz="4" w:space="0"/>
              <w:bottom w:val="nil"/>
              <w:right w:val="single" w:color="auto" w:sz="4" w:space="0"/>
            </w:tcBorders>
            <w:vAlign w:val="center"/>
          </w:tcPr>
          <w:p w14:paraId="00961602">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87 </w:t>
            </w:r>
          </w:p>
        </w:tc>
        <w:tc>
          <w:tcPr>
            <w:tcW w:w="1921" w:type="dxa"/>
            <w:tcBorders>
              <w:top w:val="nil"/>
              <w:left w:val="single" w:color="auto" w:sz="4" w:space="0"/>
              <w:bottom w:val="nil"/>
              <w:right w:val="nil"/>
            </w:tcBorders>
            <w:vAlign w:val="center"/>
          </w:tcPr>
          <w:p w14:paraId="05C6FC8A">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450 </w:t>
            </w:r>
          </w:p>
        </w:tc>
      </w:tr>
      <w:tr w14:paraId="01916FF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83" w:hRule="atLeast"/>
          <w:jc w:val="center"/>
        </w:trPr>
        <w:tc>
          <w:tcPr>
            <w:tcW w:w="4413" w:type="dxa"/>
            <w:tcBorders>
              <w:top w:val="nil"/>
              <w:left w:val="nil"/>
              <w:bottom w:val="nil"/>
              <w:right w:val="single" w:color="auto" w:sz="4" w:space="0"/>
            </w:tcBorders>
            <w:vAlign w:val="center"/>
          </w:tcPr>
          <w:p w14:paraId="27424BA1">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机动车、电子产品和日用产品修理业</w:t>
            </w:r>
          </w:p>
        </w:tc>
        <w:tc>
          <w:tcPr>
            <w:tcW w:w="2507" w:type="dxa"/>
            <w:tcBorders>
              <w:top w:val="nil"/>
              <w:left w:val="single" w:color="auto" w:sz="4" w:space="0"/>
              <w:bottom w:val="nil"/>
              <w:right w:val="single" w:color="auto" w:sz="4" w:space="0"/>
            </w:tcBorders>
            <w:vAlign w:val="center"/>
          </w:tcPr>
          <w:p w14:paraId="4124550F">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69 </w:t>
            </w:r>
          </w:p>
        </w:tc>
        <w:tc>
          <w:tcPr>
            <w:tcW w:w="1921" w:type="dxa"/>
            <w:tcBorders>
              <w:top w:val="nil"/>
              <w:left w:val="single" w:color="auto" w:sz="4" w:space="0"/>
              <w:bottom w:val="nil"/>
              <w:right w:val="nil"/>
            </w:tcBorders>
            <w:vAlign w:val="center"/>
          </w:tcPr>
          <w:p w14:paraId="5871583B">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275 </w:t>
            </w:r>
          </w:p>
        </w:tc>
      </w:tr>
      <w:tr w14:paraId="414A150F">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83" w:hRule="atLeast"/>
          <w:jc w:val="center"/>
        </w:trPr>
        <w:tc>
          <w:tcPr>
            <w:tcW w:w="4413" w:type="dxa"/>
            <w:tcBorders>
              <w:top w:val="nil"/>
              <w:left w:val="nil"/>
              <w:bottom w:val="single" w:color="auto" w:sz="12" w:space="0"/>
              <w:right w:val="single" w:color="auto" w:sz="4" w:space="0"/>
            </w:tcBorders>
            <w:vAlign w:val="center"/>
          </w:tcPr>
          <w:p w14:paraId="006A24FB">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其他服务业</w:t>
            </w:r>
          </w:p>
        </w:tc>
        <w:tc>
          <w:tcPr>
            <w:tcW w:w="2507" w:type="dxa"/>
            <w:tcBorders>
              <w:top w:val="nil"/>
              <w:left w:val="single" w:color="auto" w:sz="4" w:space="0"/>
              <w:bottom w:val="single" w:color="auto" w:sz="12" w:space="0"/>
              <w:right w:val="single" w:color="auto" w:sz="4" w:space="0"/>
            </w:tcBorders>
            <w:vAlign w:val="center"/>
          </w:tcPr>
          <w:p w14:paraId="072E0087">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32 </w:t>
            </w:r>
          </w:p>
        </w:tc>
        <w:tc>
          <w:tcPr>
            <w:tcW w:w="1921" w:type="dxa"/>
            <w:tcBorders>
              <w:top w:val="nil"/>
              <w:left w:val="single" w:color="auto" w:sz="4" w:space="0"/>
              <w:bottom w:val="single" w:color="auto" w:sz="12" w:space="0"/>
              <w:right w:val="nil"/>
            </w:tcBorders>
            <w:vAlign w:val="center"/>
          </w:tcPr>
          <w:p w14:paraId="5CD5FDDC">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280 </w:t>
            </w:r>
          </w:p>
        </w:tc>
      </w:tr>
    </w:tbl>
    <w:p w14:paraId="4932D16E">
      <w:pPr>
        <w:pStyle w:val="2"/>
        <w:keepNext w:val="0"/>
        <w:keepLines w:val="0"/>
        <w:pageBreakBefore w:val="0"/>
        <w:widowControl w:val="0"/>
        <w:kinsoku/>
        <w:wordWrap/>
        <w:overflowPunct/>
        <w:topLinePunct w:val="0"/>
        <w:autoSpaceDE/>
        <w:autoSpaceDN/>
        <w:bidi w:val="0"/>
        <w:adjustRightInd/>
        <w:snapToGrid/>
        <w:spacing w:beforeLines="0" w:line="56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在居民服务、修理和其他服务业企业法人单位中，内资企业占97.3%，港澳台投资企业占2.7%。</w:t>
      </w:r>
    </w:p>
    <w:p w14:paraId="7686DC73">
      <w:pPr>
        <w:pStyle w:val="2"/>
        <w:keepNext w:val="0"/>
        <w:keepLines w:val="0"/>
        <w:pageBreakBefore w:val="0"/>
        <w:widowControl w:val="0"/>
        <w:kinsoku/>
        <w:wordWrap/>
        <w:overflowPunct/>
        <w:topLinePunct w:val="0"/>
        <w:autoSpaceDE/>
        <w:autoSpaceDN/>
        <w:bidi w:val="0"/>
        <w:adjustRightInd/>
        <w:snapToGrid/>
        <w:spacing w:beforeLines="0" w:line="56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在居民服务、修理和其他服务业企业法人单位从业人员中，内资企业占96.8%，港澳台投资企业占3.2%（详见表5-5）。</w:t>
      </w:r>
    </w:p>
    <w:p w14:paraId="4C2C69B7">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568" w:lineRule="exact"/>
        <w:ind w:left="6" w:leftChars="0" w:right="6" w:firstLine="0" w:firstLineChars="0"/>
        <w:jc w:val="center"/>
        <w:textAlignment w:val="auto"/>
        <w:rPr>
          <w:rFonts w:hint="eastAsia" w:ascii="宋体" w:hAnsi="宋体" w:eastAsia="宋体" w:cs="宋体"/>
          <w:b/>
          <w:i w:val="0"/>
          <w:caps w:val="0"/>
          <w:color w:val="auto"/>
          <w:spacing w:val="-11"/>
          <w:kern w:val="0"/>
          <w:sz w:val="24"/>
          <w:szCs w:val="24"/>
          <w:highlight w:val="none"/>
          <w:lang w:val="en-US" w:eastAsia="zh-CN"/>
        </w:rPr>
      </w:pPr>
      <w:r>
        <w:rPr>
          <w:rFonts w:hint="eastAsia" w:ascii="宋体" w:hAnsi="宋体" w:eastAsia="宋体" w:cs="宋体"/>
          <w:b/>
          <w:i w:val="0"/>
          <w:caps w:val="0"/>
          <w:color w:val="auto"/>
          <w:spacing w:val="-11"/>
          <w:kern w:val="0"/>
          <w:sz w:val="24"/>
          <w:szCs w:val="24"/>
          <w:highlight w:val="none"/>
          <w:lang w:val="en-US" w:eastAsia="zh-CN"/>
        </w:rPr>
        <w:t>表5-5　按登记注册统计类别分组的居民服务、修理和其他服务业企业法人单位数和从业人员</w:t>
      </w:r>
    </w:p>
    <w:tbl>
      <w:tblPr>
        <w:tblStyle w:val="8"/>
        <w:tblW w:w="8841"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3435"/>
        <w:gridCol w:w="2981"/>
        <w:gridCol w:w="2425"/>
      </w:tblGrid>
      <w:tr w14:paraId="17EDACB6">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384" w:hRule="atLeast"/>
          <w:tblHeader/>
          <w:jc w:val="center"/>
        </w:trPr>
        <w:tc>
          <w:tcPr>
            <w:tcW w:w="3435" w:type="dxa"/>
            <w:tcBorders>
              <w:top w:val="single" w:color="auto" w:sz="12" w:space="0"/>
              <w:left w:val="nil"/>
              <w:bottom w:val="single" w:color="auto" w:sz="4" w:space="0"/>
              <w:right w:val="single" w:color="auto" w:sz="4" w:space="0"/>
            </w:tcBorders>
            <w:vAlign w:val="center"/>
          </w:tcPr>
          <w:p w14:paraId="7D674980">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color w:val="auto"/>
                <w:sz w:val="21"/>
                <w:szCs w:val="21"/>
              </w:rPr>
            </w:pPr>
          </w:p>
        </w:tc>
        <w:tc>
          <w:tcPr>
            <w:tcW w:w="2981" w:type="dxa"/>
            <w:tcBorders>
              <w:top w:val="single" w:color="auto" w:sz="12" w:space="0"/>
              <w:left w:val="single" w:color="auto" w:sz="4" w:space="0"/>
              <w:bottom w:val="single" w:color="auto" w:sz="4" w:space="0"/>
              <w:right w:val="single" w:color="auto" w:sz="4" w:space="0"/>
            </w:tcBorders>
            <w:vAlign w:val="center"/>
          </w:tcPr>
          <w:p w14:paraId="1E4F9063">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kern w:val="0"/>
                <w:sz w:val="21"/>
                <w:szCs w:val="21"/>
              </w:rPr>
            </w:pPr>
            <w:r>
              <w:rPr>
                <w:rFonts w:hint="eastAsia" w:asciiTheme="minorEastAsia" w:hAnsiTheme="minorEastAsia" w:eastAsiaTheme="minorEastAsia" w:cstheme="minorEastAsia"/>
                <w:b/>
                <w:bCs/>
                <w:color w:val="auto"/>
                <w:kern w:val="0"/>
                <w:sz w:val="21"/>
                <w:szCs w:val="21"/>
              </w:rPr>
              <w:t>企业法人单位</w:t>
            </w:r>
          </w:p>
          <w:p w14:paraId="704089BA">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（个）</w:t>
            </w:r>
          </w:p>
        </w:tc>
        <w:tc>
          <w:tcPr>
            <w:tcW w:w="2425" w:type="dxa"/>
            <w:tcBorders>
              <w:top w:val="single" w:color="auto" w:sz="12" w:space="0"/>
              <w:left w:val="single" w:color="auto" w:sz="4" w:space="0"/>
              <w:bottom w:val="single" w:color="auto" w:sz="4" w:space="0"/>
              <w:right w:val="nil"/>
            </w:tcBorders>
            <w:vAlign w:val="center"/>
          </w:tcPr>
          <w:p w14:paraId="1D6F3FB2">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kern w:val="0"/>
                <w:sz w:val="21"/>
                <w:szCs w:val="21"/>
              </w:rPr>
            </w:pPr>
            <w:r>
              <w:rPr>
                <w:rFonts w:hint="eastAsia" w:asciiTheme="minorEastAsia" w:hAnsiTheme="minorEastAsia" w:eastAsiaTheme="minorEastAsia" w:cstheme="minorEastAsia"/>
                <w:b/>
                <w:bCs/>
                <w:color w:val="auto"/>
                <w:kern w:val="0"/>
                <w:sz w:val="21"/>
                <w:szCs w:val="21"/>
              </w:rPr>
              <w:t>从业人员</w:t>
            </w:r>
          </w:p>
          <w:p w14:paraId="6CE68244">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（人）</w:t>
            </w:r>
          </w:p>
        </w:tc>
      </w:tr>
      <w:tr w14:paraId="3EAA8A56">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435" w:type="dxa"/>
            <w:tcBorders>
              <w:top w:val="single" w:color="auto" w:sz="4" w:space="0"/>
              <w:left w:val="nil"/>
              <w:bottom w:val="nil"/>
              <w:right w:val="single" w:color="auto" w:sz="4" w:space="0"/>
            </w:tcBorders>
            <w:vAlign w:val="center"/>
          </w:tcPr>
          <w:p w14:paraId="7672591C">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
                <w:color w:val="auto"/>
                <w:kern w:val="0"/>
                <w:sz w:val="21"/>
                <w:szCs w:val="21"/>
              </w:rPr>
              <w:t>合　计</w:t>
            </w:r>
          </w:p>
        </w:tc>
        <w:tc>
          <w:tcPr>
            <w:tcW w:w="2981" w:type="dxa"/>
            <w:tcBorders>
              <w:top w:val="single" w:color="auto" w:sz="4" w:space="0"/>
              <w:left w:val="single" w:color="auto" w:sz="4" w:space="0"/>
              <w:bottom w:val="nil"/>
              <w:right w:val="single" w:color="auto" w:sz="4" w:space="0"/>
            </w:tcBorders>
            <w:vAlign w:val="center"/>
          </w:tcPr>
          <w:p w14:paraId="38A3B917">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sz w:val="21"/>
                <w:szCs w:val="21"/>
              </w:rPr>
              <w:t>188</w:t>
            </w:r>
          </w:p>
        </w:tc>
        <w:tc>
          <w:tcPr>
            <w:tcW w:w="2425" w:type="dxa"/>
            <w:tcBorders>
              <w:top w:val="single" w:color="auto" w:sz="4" w:space="0"/>
              <w:left w:val="single" w:color="auto" w:sz="4" w:space="0"/>
              <w:bottom w:val="nil"/>
              <w:right w:val="nil"/>
            </w:tcBorders>
            <w:vAlign w:val="center"/>
          </w:tcPr>
          <w:p w14:paraId="1065CD08">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sz w:val="21"/>
                <w:szCs w:val="21"/>
              </w:rPr>
              <w:t>1005</w:t>
            </w:r>
          </w:p>
        </w:tc>
      </w:tr>
      <w:tr w14:paraId="56E6A21E">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435" w:type="dxa"/>
            <w:tcBorders>
              <w:top w:val="nil"/>
              <w:left w:val="nil"/>
              <w:bottom w:val="nil"/>
              <w:right w:val="single" w:color="auto" w:sz="4" w:space="0"/>
            </w:tcBorders>
            <w:vAlign w:val="center"/>
          </w:tcPr>
          <w:p w14:paraId="064009EF">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bCs/>
                <w:color w:val="auto"/>
                <w:sz w:val="21"/>
                <w:szCs w:val="21"/>
              </w:rPr>
            </w:pPr>
            <w:r>
              <w:rPr>
                <w:rFonts w:hint="eastAsia" w:asciiTheme="minorEastAsia" w:hAnsiTheme="minorEastAsia" w:eastAsiaTheme="minorEastAsia" w:cstheme="minorEastAsia"/>
                <w:bCs/>
                <w:color w:val="auto"/>
                <w:kern w:val="0"/>
                <w:sz w:val="21"/>
                <w:szCs w:val="21"/>
              </w:rPr>
              <w:t>内资企业</w:t>
            </w:r>
          </w:p>
        </w:tc>
        <w:tc>
          <w:tcPr>
            <w:tcW w:w="2981" w:type="dxa"/>
            <w:tcBorders>
              <w:top w:val="nil"/>
              <w:left w:val="single" w:color="auto" w:sz="4" w:space="0"/>
              <w:bottom w:val="nil"/>
              <w:right w:val="single" w:color="auto" w:sz="4" w:space="0"/>
            </w:tcBorders>
            <w:vAlign w:val="center"/>
          </w:tcPr>
          <w:p w14:paraId="29C0A644">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val="0"/>
                <w:bCs w:val="0"/>
                <w:color w:val="auto"/>
                <w:sz w:val="21"/>
                <w:szCs w:val="21"/>
              </w:rPr>
            </w:pPr>
            <w:r>
              <w:rPr>
                <w:rFonts w:hint="eastAsia" w:asciiTheme="minorEastAsia" w:hAnsiTheme="minorEastAsia" w:eastAsiaTheme="minorEastAsia" w:cstheme="minorEastAsia"/>
                <w:b w:val="0"/>
                <w:bCs w:val="0"/>
                <w:color w:val="auto"/>
                <w:sz w:val="21"/>
                <w:szCs w:val="21"/>
              </w:rPr>
              <w:t>183</w:t>
            </w:r>
          </w:p>
        </w:tc>
        <w:tc>
          <w:tcPr>
            <w:tcW w:w="2425" w:type="dxa"/>
            <w:tcBorders>
              <w:top w:val="nil"/>
              <w:left w:val="single" w:color="auto" w:sz="4" w:space="0"/>
              <w:bottom w:val="nil"/>
              <w:right w:val="nil"/>
            </w:tcBorders>
            <w:vAlign w:val="center"/>
          </w:tcPr>
          <w:p w14:paraId="7A6E5458">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val="0"/>
                <w:bCs w:val="0"/>
                <w:color w:val="auto"/>
                <w:sz w:val="21"/>
                <w:szCs w:val="21"/>
              </w:rPr>
            </w:pPr>
            <w:r>
              <w:rPr>
                <w:rFonts w:hint="eastAsia" w:asciiTheme="minorEastAsia" w:hAnsiTheme="minorEastAsia" w:eastAsiaTheme="minorEastAsia" w:cstheme="minorEastAsia"/>
                <w:b w:val="0"/>
                <w:bCs w:val="0"/>
                <w:color w:val="auto"/>
                <w:sz w:val="21"/>
                <w:szCs w:val="21"/>
              </w:rPr>
              <w:t>973</w:t>
            </w:r>
          </w:p>
        </w:tc>
      </w:tr>
      <w:tr w14:paraId="26DEAF35">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435" w:type="dxa"/>
            <w:tcBorders>
              <w:top w:val="nil"/>
              <w:left w:val="nil"/>
              <w:bottom w:val="nil"/>
              <w:right w:val="single" w:color="auto" w:sz="4" w:space="0"/>
            </w:tcBorders>
            <w:vAlign w:val="center"/>
          </w:tcPr>
          <w:p w14:paraId="34231BD8">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bCs/>
                <w:color w:val="auto"/>
                <w:sz w:val="21"/>
                <w:szCs w:val="21"/>
              </w:rPr>
            </w:pPr>
            <w:r>
              <w:rPr>
                <w:rFonts w:hint="eastAsia" w:asciiTheme="minorEastAsia" w:hAnsiTheme="minorEastAsia" w:eastAsiaTheme="minorEastAsia" w:cstheme="minorEastAsia"/>
                <w:bCs/>
                <w:color w:val="auto"/>
                <w:kern w:val="0"/>
                <w:sz w:val="21"/>
                <w:szCs w:val="21"/>
              </w:rPr>
              <w:t>港澳台投资企业</w:t>
            </w:r>
          </w:p>
        </w:tc>
        <w:tc>
          <w:tcPr>
            <w:tcW w:w="2981" w:type="dxa"/>
            <w:tcBorders>
              <w:top w:val="nil"/>
              <w:left w:val="single" w:color="auto" w:sz="4" w:space="0"/>
              <w:bottom w:val="nil"/>
              <w:right w:val="single" w:color="auto" w:sz="4" w:space="0"/>
            </w:tcBorders>
            <w:vAlign w:val="center"/>
          </w:tcPr>
          <w:p w14:paraId="380E6CC6">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val="0"/>
                <w:bCs w:val="0"/>
                <w:color w:val="auto"/>
                <w:sz w:val="21"/>
                <w:szCs w:val="21"/>
              </w:rPr>
            </w:pPr>
            <w:r>
              <w:rPr>
                <w:rFonts w:hint="eastAsia" w:asciiTheme="minorEastAsia" w:hAnsiTheme="minorEastAsia" w:eastAsiaTheme="minorEastAsia" w:cstheme="minorEastAsia"/>
                <w:b w:val="0"/>
                <w:bCs w:val="0"/>
                <w:color w:val="auto"/>
                <w:sz w:val="21"/>
                <w:szCs w:val="21"/>
              </w:rPr>
              <w:t>5</w:t>
            </w:r>
          </w:p>
        </w:tc>
        <w:tc>
          <w:tcPr>
            <w:tcW w:w="2425" w:type="dxa"/>
            <w:tcBorders>
              <w:top w:val="nil"/>
              <w:left w:val="single" w:color="auto" w:sz="4" w:space="0"/>
              <w:bottom w:val="nil"/>
              <w:right w:val="nil"/>
            </w:tcBorders>
            <w:vAlign w:val="center"/>
          </w:tcPr>
          <w:p w14:paraId="69C665ED">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val="0"/>
                <w:bCs w:val="0"/>
                <w:color w:val="auto"/>
                <w:sz w:val="21"/>
                <w:szCs w:val="21"/>
              </w:rPr>
            </w:pPr>
            <w:r>
              <w:rPr>
                <w:rFonts w:hint="eastAsia" w:asciiTheme="minorEastAsia" w:hAnsiTheme="minorEastAsia" w:eastAsiaTheme="minorEastAsia" w:cstheme="minorEastAsia"/>
                <w:b w:val="0"/>
                <w:bCs w:val="0"/>
                <w:color w:val="auto"/>
                <w:sz w:val="21"/>
                <w:szCs w:val="21"/>
              </w:rPr>
              <w:t>32</w:t>
            </w:r>
          </w:p>
        </w:tc>
      </w:tr>
      <w:tr w14:paraId="0EDEF36C">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435" w:type="dxa"/>
            <w:tcBorders>
              <w:top w:val="nil"/>
              <w:left w:val="nil"/>
              <w:bottom w:val="nil"/>
              <w:right w:val="single" w:color="auto" w:sz="4" w:space="0"/>
            </w:tcBorders>
            <w:vAlign w:val="center"/>
          </w:tcPr>
          <w:p w14:paraId="215324DA">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bCs/>
                <w:color w:val="auto"/>
                <w:sz w:val="21"/>
                <w:szCs w:val="21"/>
              </w:rPr>
            </w:pPr>
            <w:r>
              <w:rPr>
                <w:rFonts w:hint="eastAsia" w:asciiTheme="minorEastAsia" w:hAnsiTheme="minorEastAsia" w:eastAsiaTheme="minorEastAsia" w:cstheme="minorEastAsia"/>
                <w:bCs/>
                <w:color w:val="auto"/>
                <w:kern w:val="0"/>
                <w:sz w:val="21"/>
                <w:szCs w:val="21"/>
              </w:rPr>
              <w:t>外商投资企业</w:t>
            </w:r>
          </w:p>
        </w:tc>
        <w:tc>
          <w:tcPr>
            <w:tcW w:w="2981" w:type="dxa"/>
            <w:tcBorders>
              <w:top w:val="nil"/>
              <w:left w:val="single" w:color="auto" w:sz="4" w:space="0"/>
              <w:bottom w:val="nil"/>
              <w:right w:val="single" w:color="auto" w:sz="4" w:space="0"/>
            </w:tcBorders>
            <w:vAlign w:val="center"/>
          </w:tcPr>
          <w:p w14:paraId="27FFB6F4">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bCs/>
                <w:color w:val="auto"/>
                <w:sz w:val="21"/>
                <w:szCs w:val="21"/>
                <w:lang w:eastAsia="zh-CN"/>
              </w:rPr>
            </w:pPr>
            <w:r>
              <w:rPr>
                <w:rFonts w:hint="eastAsia" w:asciiTheme="minorEastAsia" w:hAnsiTheme="minorEastAsia" w:eastAsiaTheme="minorEastAsia" w:cstheme="minorEastAsia"/>
                <w:b/>
                <w:bCs/>
                <w:color w:val="auto"/>
                <w:sz w:val="21"/>
                <w:szCs w:val="21"/>
                <w:lang w:eastAsia="zh-CN"/>
              </w:rPr>
              <w:t>—</w:t>
            </w:r>
          </w:p>
        </w:tc>
        <w:tc>
          <w:tcPr>
            <w:tcW w:w="2425" w:type="dxa"/>
            <w:tcBorders>
              <w:top w:val="nil"/>
              <w:left w:val="single" w:color="auto" w:sz="4" w:space="0"/>
              <w:bottom w:val="nil"/>
              <w:right w:val="nil"/>
            </w:tcBorders>
            <w:vAlign w:val="center"/>
          </w:tcPr>
          <w:p w14:paraId="170AD8DE">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sz w:val="21"/>
                <w:szCs w:val="21"/>
                <w:lang w:eastAsia="zh-CN"/>
              </w:rPr>
              <w:t>—</w:t>
            </w:r>
          </w:p>
        </w:tc>
      </w:tr>
      <w:tr w14:paraId="6A6497A0">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435" w:type="dxa"/>
            <w:tcBorders>
              <w:top w:val="nil"/>
              <w:left w:val="nil"/>
              <w:bottom w:val="single" w:color="auto" w:sz="12" w:space="0"/>
              <w:right w:val="single" w:color="auto" w:sz="4" w:space="0"/>
            </w:tcBorders>
            <w:vAlign w:val="center"/>
          </w:tcPr>
          <w:p w14:paraId="25C7FA03">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bCs/>
                <w:color w:val="auto"/>
                <w:kern w:val="0"/>
                <w:sz w:val="21"/>
                <w:szCs w:val="21"/>
              </w:rPr>
            </w:pPr>
            <w:r>
              <w:rPr>
                <w:rFonts w:hint="eastAsia" w:asciiTheme="minorEastAsia" w:hAnsiTheme="minorEastAsia" w:eastAsiaTheme="minorEastAsia" w:cstheme="minorEastAsia"/>
                <w:bCs/>
                <w:color w:val="auto"/>
                <w:kern w:val="0"/>
                <w:sz w:val="21"/>
                <w:szCs w:val="21"/>
              </w:rPr>
              <w:t>其他统计类别</w:t>
            </w:r>
          </w:p>
        </w:tc>
        <w:tc>
          <w:tcPr>
            <w:tcW w:w="2981" w:type="dxa"/>
            <w:tcBorders>
              <w:top w:val="nil"/>
              <w:left w:val="single" w:color="auto" w:sz="4" w:space="0"/>
              <w:bottom w:val="single" w:color="auto" w:sz="12" w:space="0"/>
              <w:right w:val="single" w:color="auto" w:sz="4" w:space="0"/>
            </w:tcBorders>
            <w:vAlign w:val="center"/>
          </w:tcPr>
          <w:p w14:paraId="53D31E38">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color w:val="auto"/>
                <w:kern w:val="0"/>
                <w:sz w:val="21"/>
                <w:szCs w:val="21"/>
              </w:rPr>
            </w:pPr>
            <w:r>
              <w:rPr>
                <w:rFonts w:hint="eastAsia" w:asciiTheme="minorEastAsia" w:hAnsiTheme="minorEastAsia" w:eastAsiaTheme="minorEastAsia" w:cstheme="minorEastAsia"/>
                <w:b/>
                <w:bCs/>
                <w:color w:val="auto"/>
                <w:sz w:val="21"/>
                <w:szCs w:val="21"/>
                <w:lang w:eastAsia="zh-CN"/>
              </w:rPr>
              <w:t>—</w:t>
            </w:r>
          </w:p>
        </w:tc>
        <w:tc>
          <w:tcPr>
            <w:tcW w:w="2425" w:type="dxa"/>
            <w:tcBorders>
              <w:top w:val="nil"/>
              <w:left w:val="single" w:color="auto" w:sz="4" w:space="0"/>
              <w:bottom w:val="single" w:color="auto" w:sz="12" w:space="0"/>
              <w:right w:val="nil"/>
            </w:tcBorders>
            <w:vAlign w:val="center"/>
          </w:tcPr>
          <w:p w14:paraId="724E3004">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color w:val="auto"/>
                <w:kern w:val="0"/>
                <w:sz w:val="21"/>
                <w:szCs w:val="21"/>
              </w:rPr>
            </w:pPr>
            <w:r>
              <w:rPr>
                <w:rFonts w:hint="eastAsia" w:asciiTheme="minorEastAsia" w:hAnsiTheme="minorEastAsia" w:eastAsiaTheme="minorEastAsia" w:cstheme="minorEastAsia"/>
                <w:b/>
                <w:bCs/>
                <w:color w:val="auto"/>
                <w:sz w:val="21"/>
                <w:szCs w:val="21"/>
                <w:lang w:eastAsia="zh-CN"/>
              </w:rPr>
              <w:t>—</w:t>
            </w:r>
          </w:p>
        </w:tc>
      </w:tr>
    </w:tbl>
    <w:p w14:paraId="777AFB11">
      <w:pPr>
        <w:keepNext w:val="0"/>
        <w:keepLines w:val="0"/>
        <w:pageBreakBefore w:val="0"/>
        <w:kinsoku/>
        <w:overflowPunct/>
        <w:topLinePunct w:val="0"/>
        <w:autoSpaceDE/>
        <w:autoSpaceDN/>
        <w:bidi w:val="0"/>
        <w:adjustRightInd/>
        <w:snapToGrid/>
        <w:spacing w:line="578"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（二）主要经济指标</w:t>
      </w:r>
    </w:p>
    <w:p w14:paraId="5612AF40">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2023年末，居民服务、修理和其他服务业企业法人单位资产总计37598.2万元，比2018年末增长287.5%；负债合计24533.</w:t>
      </w:r>
      <w:r>
        <w:rPr>
          <w:rFonts w:hint="eastAsia" w:ascii="仿宋_GB2312" w:hAnsi="仿宋_GB2312" w:eastAsia="仿宋_GB2312" w:cs="仿宋_GB2312"/>
          <w:color w:val="auto"/>
          <w:sz w:val="32"/>
          <w:szCs w:val="32"/>
          <w:u w:val="none"/>
          <w:lang w:val="en-US" w:eastAsia="zh-CN"/>
        </w:rPr>
        <w:t>6</w:t>
      </w:r>
      <w:r>
        <w:rPr>
          <w:rFonts w:hint="eastAsia" w:ascii="仿宋_GB2312" w:hAnsi="仿宋_GB2312" w:eastAsia="仿宋_GB2312" w:cs="仿宋_GB2312"/>
          <w:color w:val="auto"/>
          <w:sz w:val="32"/>
          <w:szCs w:val="32"/>
          <w:u w:val="none"/>
          <w:lang w:eastAsia="zh-CN"/>
        </w:rPr>
        <w:t>万元，比2018年末增长497.8%。全年实现营业收入30154.</w:t>
      </w:r>
      <w:r>
        <w:rPr>
          <w:rFonts w:hint="eastAsia" w:ascii="仿宋_GB2312" w:hAnsi="仿宋_GB2312" w:eastAsia="仿宋_GB2312" w:cs="仿宋_GB2312"/>
          <w:color w:val="auto"/>
          <w:sz w:val="32"/>
          <w:szCs w:val="32"/>
          <w:u w:val="none"/>
          <w:lang w:val="en-US" w:eastAsia="zh-CN"/>
        </w:rPr>
        <w:t>3</w:t>
      </w:r>
      <w:r>
        <w:rPr>
          <w:rFonts w:hint="eastAsia" w:ascii="仿宋_GB2312" w:hAnsi="仿宋_GB2312" w:eastAsia="仿宋_GB2312" w:cs="仿宋_GB2312"/>
          <w:color w:val="auto"/>
          <w:sz w:val="32"/>
          <w:szCs w:val="32"/>
          <w:u w:val="none"/>
          <w:lang w:eastAsia="zh-CN"/>
        </w:rPr>
        <w:t>万元，比2018年增长146.6%（详见表5-6）。</w:t>
      </w:r>
    </w:p>
    <w:p w14:paraId="3A20B790">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578" w:lineRule="exact"/>
        <w:ind w:left="6" w:leftChars="0" w:right="6" w:firstLine="0" w:firstLineChars="0"/>
        <w:jc w:val="center"/>
        <w:textAlignment w:val="auto"/>
        <w:rPr>
          <w:rFonts w:hint="eastAsia" w:ascii="宋体" w:hAnsi="宋体" w:eastAsia="宋体" w:cs="宋体"/>
          <w:b/>
          <w:i w:val="0"/>
          <w:caps w:val="0"/>
          <w:color w:val="auto"/>
          <w:spacing w:val="0"/>
          <w:kern w:val="0"/>
          <w:sz w:val="24"/>
          <w:szCs w:val="24"/>
          <w:highlight w:val="none"/>
          <w:lang w:val="en-US" w:eastAsia="zh-CN"/>
        </w:rPr>
      </w:pPr>
      <w:r>
        <w:rPr>
          <w:rFonts w:hint="eastAsia" w:ascii="宋体" w:hAnsi="宋体" w:eastAsia="宋体" w:cs="宋体"/>
          <w:b/>
          <w:i w:val="0"/>
          <w:caps w:val="0"/>
          <w:color w:val="auto"/>
          <w:spacing w:val="0"/>
          <w:kern w:val="0"/>
          <w:sz w:val="24"/>
          <w:szCs w:val="24"/>
          <w:highlight w:val="none"/>
          <w:lang w:val="en-US" w:eastAsia="zh-CN"/>
        </w:rPr>
        <w:t>表5-6　按行业大类分组的居民服务、修理和其他服务业企业法人单位主要经济指标</w:t>
      </w:r>
    </w:p>
    <w:tbl>
      <w:tblPr>
        <w:tblStyle w:val="8"/>
        <w:tblW w:w="8841"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4384"/>
        <w:gridCol w:w="1500"/>
        <w:gridCol w:w="1468"/>
        <w:gridCol w:w="1489"/>
      </w:tblGrid>
      <w:tr w14:paraId="566960C0">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83" w:hRule="atLeast"/>
          <w:jc w:val="center"/>
        </w:trPr>
        <w:tc>
          <w:tcPr>
            <w:tcW w:w="4384" w:type="dxa"/>
            <w:tcBorders>
              <w:top w:val="single" w:color="auto" w:sz="12" w:space="0"/>
              <w:left w:val="nil"/>
              <w:bottom w:val="single" w:color="auto" w:sz="4" w:space="0"/>
              <w:right w:val="single" w:color="auto" w:sz="4" w:space="0"/>
            </w:tcBorders>
            <w:vAlign w:val="center"/>
          </w:tcPr>
          <w:p w14:paraId="50D360F6">
            <w:pPr>
              <w:snapToGrid w:val="0"/>
              <w:spacing w:line="320" w:lineRule="exact"/>
              <w:ind w:firstLine="0" w:firstLineChars="0"/>
              <w:jc w:val="center"/>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　</w:t>
            </w:r>
          </w:p>
        </w:tc>
        <w:tc>
          <w:tcPr>
            <w:tcW w:w="1500" w:type="dxa"/>
            <w:tcBorders>
              <w:top w:val="single" w:color="auto" w:sz="12" w:space="0"/>
              <w:left w:val="single" w:color="auto" w:sz="4" w:space="0"/>
              <w:bottom w:val="single" w:color="auto" w:sz="4" w:space="0"/>
              <w:right w:val="single" w:color="auto" w:sz="4" w:space="0"/>
            </w:tcBorders>
            <w:vAlign w:val="center"/>
          </w:tcPr>
          <w:p w14:paraId="206AC874">
            <w:pPr>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资产总计</w:t>
            </w:r>
          </w:p>
          <w:p w14:paraId="7C644EAB">
            <w:pPr>
              <w:snapToGrid w:val="0"/>
              <w:spacing w:line="320" w:lineRule="exact"/>
              <w:ind w:firstLine="0" w:firstLineChars="0"/>
              <w:jc w:val="center"/>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
                <w:bCs/>
                <w:color w:val="auto"/>
                <w:kern w:val="0"/>
                <w:sz w:val="21"/>
                <w:szCs w:val="21"/>
              </w:rPr>
              <w:t>（万元）</w:t>
            </w:r>
          </w:p>
        </w:tc>
        <w:tc>
          <w:tcPr>
            <w:tcW w:w="1468" w:type="dxa"/>
            <w:tcBorders>
              <w:top w:val="single" w:color="auto" w:sz="12" w:space="0"/>
              <w:left w:val="single" w:color="auto" w:sz="4" w:space="0"/>
              <w:bottom w:val="single" w:color="auto" w:sz="4" w:space="0"/>
              <w:right w:val="single" w:color="auto" w:sz="4" w:space="0"/>
            </w:tcBorders>
            <w:vAlign w:val="center"/>
          </w:tcPr>
          <w:p w14:paraId="432452DF">
            <w:pPr>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负债合计</w:t>
            </w:r>
          </w:p>
          <w:p w14:paraId="2A8BC54A">
            <w:pPr>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（万元）</w:t>
            </w:r>
          </w:p>
        </w:tc>
        <w:tc>
          <w:tcPr>
            <w:tcW w:w="1489" w:type="dxa"/>
            <w:tcBorders>
              <w:top w:val="single" w:color="auto" w:sz="12" w:space="0"/>
              <w:left w:val="single" w:color="auto" w:sz="4" w:space="0"/>
              <w:bottom w:val="single" w:color="auto" w:sz="4" w:space="0"/>
              <w:right w:val="nil"/>
            </w:tcBorders>
            <w:vAlign w:val="center"/>
          </w:tcPr>
          <w:p w14:paraId="3241A121">
            <w:pPr>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营业收入</w:t>
            </w:r>
          </w:p>
          <w:p w14:paraId="12DAA1D2">
            <w:pPr>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（万元）</w:t>
            </w:r>
          </w:p>
        </w:tc>
      </w:tr>
      <w:tr w14:paraId="6D6B097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83" w:hRule="atLeast"/>
          <w:jc w:val="center"/>
        </w:trPr>
        <w:tc>
          <w:tcPr>
            <w:tcW w:w="4384" w:type="dxa"/>
            <w:tcBorders>
              <w:top w:val="single" w:color="auto" w:sz="4" w:space="0"/>
              <w:left w:val="nil"/>
              <w:bottom w:val="nil"/>
              <w:right w:val="single" w:color="auto" w:sz="4" w:space="0"/>
            </w:tcBorders>
            <w:vAlign w:val="center"/>
          </w:tcPr>
          <w:p w14:paraId="73022908">
            <w:pPr>
              <w:snapToGrid w:val="0"/>
              <w:spacing w:line="320" w:lineRule="exact"/>
              <w:ind w:firstLine="0" w:firstLineChars="0"/>
              <w:jc w:val="center"/>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
                <w:color w:val="auto"/>
                <w:kern w:val="0"/>
                <w:sz w:val="21"/>
                <w:szCs w:val="21"/>
              </w:rPr>
              <w:t>合　计</w:t>
            </w:r>
          </w:p>
        </w:tc>
        <w:tc>
          <w:tcPr>
            <w:tcW w:w="1500" w:type="dxa"/>
            <w:tcBorders>
              <w:top w:val="single" w:color="auto" w:sz="4" w:space="0"/>
              <w:left w:val="single" w:color="auto" w:sz="4" w:space="0"/>
              <w:bottom w:val="nil"/>
              <w:right w:val="single" w:color="auto" w:sz="4" w:space="0"/>
            </w:tcBorders>
            <w:vAlign w:val="center"/>
          </w:tcPr>
          <w:p w14:paraId="406D933C">
            <w:pPr>
              <w:snapToGrid w:val="0"/>
              <w:spacing w:line="320" w:lineRule="exact"/>
              <w:ind w:firstLine="0" w:firstLineChars="0"/>
              <w:jc w:val="right"/>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sz w:val="21"/>
                <w:szCs w:val="21"/>
              </w:rPr>
              <w:t>37598.2</w:t>
            </w:r>
          </w:p>
        </w:tc>
        <w:tc>
          <w:tcPr>
            <w:tcW w:w="1468" w:type="dxa"/>
            <w:tcBorders>
              <w:top w:val="single" w:color="auto" w:sz="4" w:space="0"/>
              <w:left w:val="single" w:color="auto" w:sz="4" w:space="0"/>
              <w:bottom w:val="nil"/>
              <w:right w:val="single" w:color="auto" w:sz="4" w:space="0"/>
            </w:tcBorders>
            <w:vAlign w:val="center"/>
          </w:tcPr>
          <w:p w14:paraId="5AF9D2E4">
            <w:pPr>
              <w:snapToGrid w:val="0"/>
              <w:spacing w:line="320" w:lineRule="exact"/>
              <w:ind w:firstLine="0" w:firstLineChars="0"/>
              <w:jc w:val="right"/>
              <w:rPr>
                <w:rFonts w:hint="eastAsia" w:asciiTheme="minorEastAsia" w:hAnsiTheme="minorEastAsia" w:eastAsiaTheme="minorEastAsia" w:cstheme="minorEastAsia"/>
                <w:b/>
                <w:bCs/>
                <w:color w:val="auto"/>
                <w:sz w:val="21"/>
                <w:szCs w:val="21"/>
                <w:lang w:eastAsia="zh-CN"/>
              </w:rPr>
            </w:pPr>
            <w:r>
              <w:rPr>
                <w:rFonts w:hint="eastAsia" w:asciiTheme="minorEastAsia" w:hAnsiTheme="minorEastAsia" w:eastAsiaTheme="minorEastAsia" w:cstheme="minorEastAsia"/>
                <w:b/>
                <w:bCs/>
                <w:color w:val="auto"/>
                <w:sz w:val="21"/>
                <w:szCs w:val="21"/>
              </w:rPr>
              <w:t>24533.</w:t>
            </w:r>
            <w:r>
              <w:rPr>
                <w:rFonts w:hint="eastAsia" w:asciiTheme="minorEastAsia" w:hAnsiTheme="minorEastAsia" w:cstheme="minorEastAsia"/>
                <w:b/>
                <w:bCs/>
                <w:color w:val="auto"/>
                <w:sz w:val="21"/>
                <w:szCs w:val="21"/>
                <w:lang w:val="en-US" w:eastAsia="zh-CN"/>
              </w:rPr>
              <w:t>6</w:t>
            </w:r>
          </w:p>
        </w:tc>
        <w:tc>
          <w:tcPr>
            <w:tcW w:w="1489" w:type="dxa"/>
            <w:tcBorders>
              <w:top w:val="single" w:color="auto" w:sz="4" w:space="0"/>
              <w:left w:val="single" w:color="auto" w:sz="4" w:space="0"/>
              <w:bottom w:val="nil"/>
              <w:right w:val="nil"/>
            </w:tcBorders>
            <w:vAlign w:val="center"/>
          </w:tcPr>
          <w:p w14:paraId="758CF0B6">
            <w:pPr>
              <w:snapToGrid w:val="0"/>
              <w:spacing w:line="320" w:lineRule="exact"/>
              <w:ind w:firstLine="0" w:firstLineChars="0"/>
              <w:jc w:val="right"/>
              <w:rPr>
                <w:rFonts w:hint="eastAsia" w:asciiTheme="minorEastAsia" w:hAnsiTheme="minorEastAsia" w:eastAsiaTheme="minorEastAsia" w:cstheme="minorEastAsia"/>
                <w:b/>
                <w:bCs/>
                <w:color w:val="auto"/>
                <w:sz w:val="21"/>
                <w:szCs w:val="21"/>
                <w:lang w:eastAsia="zh-CN"/>
              </w:rPr>
            </w:pPr>
            <w:r>
              <w:rPr>
                <w:rFonts w:hint="eastAsia" w:asciiTheme="minorEastAsia" w:hAnsiTheme="minorEastAsia" w:eastAsiaTheme="minorEastAsia" w:cstheme="minorEastAsia"/>
                <w:b/>
                <w:bCs/>
                <w:color w:val="auto"/>
                <w:sz w:val="21"/>
                <w:szCs w:val="21"/>
              </w:rPr>
              <w:t>30154.</w:t>
            </w:r>
            <w:r>
              <w:rPr>
                <w:rFonts w:hint="eastAsia" w:asciiTheme="minorEastAsia" w:hAnsiTheme="minorEastAsia" w:cstheme="minorEastAsia"/>
                <w:b/>
                <w:bCs/>
                <w:color w:val="auto"/>
                <w:sz w:val="21"/>
                <w:szCs w:val="21"/>
                <w:lang w:val="en-US" w:eastAsia="zh-CN"/>
              </w:rPr>
              <w:t>3</w:t>
            </w:r>
          </w:p>
        </w:tc>
      </w:tr>
      <w:tr w14:paraId="100547A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83" w:hRule="atLeast"/>
          <w:jc w:val="center"/>
        </w:trPr>
        <w:tc>
          <w:tcPr>
            <w:tcW w:w="4384" w:type="dxa"/>
            <w:tcBorders>
              <w:top w:val="nil"/>
              <w:left w:val="nil"/>
              <w:bottom w:val="nil"/>
              <w:right w:val="single" w:color="auto" w:sz="4" w:space="0"/>
            </w:tcBorders>
            <w:vAlign w:val="center"/>
          </w:tcPr>
          <w:p w14:paraId="6196E750">
            <w:pPr>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居民服务业</w:t>
            </w:r>
          </w:p>
        </w:tc>
        <w:tc>
          <w:tcPr>
            <w:tcW w:w="1500" w:type="dxa"/>
            <w:tcBorders>
              <w:top w:val="nil"/>
              <w:left w:val="single" w:color="auto" w:sz="4" w:space="0"/>
              <w:bottom w:val="nil"/>
              <w:right w:val="single" w:color="auto" w:sz="4" w:space="0"/>
            </w:tcBorders>
            <w:vAlign w:val="center"/>
          </w:tcPr>
          <w:p w14:paraId="55FFDA5D">
            <w:pPr>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30309.6 </w:t>
            </w:r>
          </w:p>
        </w:tc>
        <w:tc>
          <w:tcPr>
            <w:tcW w:w="1468" w:type="dxa"/>
            <w:tcBorders>
              <w:top w:val="nil"/>
              <w:left w:val="single" w:color="auto" w:sz="4" w:space="0"/>
              <w:bottom w:val="nil"/>
              <w:right w:val="single" w:color="auto" w:sz="4" w:space="0"/>
            </w:tcBorders>
            <w:vAlign w:val="center"/>
          </w:tcPr>
          <w:p w14:paraId="719245C6">
            <w:pPr>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14662.</w:t>
            </w:r>
            <w:r>
              <w:rPr>
                <w:rFonts w:hint="eastAsia" w:asciiTheme="minorEastAsia" w:hAnsiTheme="minorEastAsia" w:cstheme="minorEastAsia"/>
                <w:color w:val="auto"/>
                <w:sz w:val="21"/>
                <w:szCs w:val="21"/>
                <w:lang w:val="en-US" w:eastAsia="zh-CN"/>
              </w:rPr>
              <w:t>1</w:t>
            </w:r>
            <w:r>
              <w:rPr>
                <w:rFonts w:hint="eastAsia" w:asciiTheme="minorEastAsia" w:hAnsiTheme="minorEastAsia" w:eastAsiaTheme="minorEastAsia" w:cstheme="minorEastAsia"/>
                <w:color w:val="auto"/>
                <w:sz w:val="21"/>
                <w:szCs w:val="21"/>
              </w:rPr>
              <w:t xml:space="preserve"> </w:t>
            </w:r>
          </w:p>
        </w:tc>
        <w:tc>
          <w:tcPr>
            <w:tcW w:w="1489" w:type="dxa"/>
            <w:tcBorders>
              <w:top w:val="nil"/>
              <w:left w:val="single" w:color="auto" w:sz="4" w:space="0"/>
              <w:bottom w:val="nil"/>
              <w:right w:val="nil"/>
            </w:tcBorders>
            <w:vAlign w:val="center"/>
          </w:tcPr>
          <w:p w14:paraId="1E7F259A">
            <w:pPr>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21067.4 </w:t>
            </w:r>
          </w:p>
        </w:tc>
      </w:tr>
      <w:tr w14:paraId="3D83FBDA">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83" w:hRule="atLeast"/>
          <w:jc w:val="center"/>
        </w:trPr>
        <w:tc>
          <w:tcPr>
            <w:tcW w:w="4384" w:type="dxa"/>
            <w:tcBorders>
              <w:top w:val="nil"/>
              <w:left w:val="nil"/>
              <w:bottom w:val="nil"/>
              <w:right w:val="single" w:color="auto" w:sz="4" w:space="0"/>
            </w:tcBorders>
            <w:vAlign w:val="center"/>
          </w:tcPr>
          <w:p w14:paraId="5D99D112">
            <w:pPr>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机动车、电子产品和日用产品修理业</w:t>
            </w:r>
          </w:p>
        </w:tc>
        <w:tc>
          <w:tcPr>
            <w:tcW w:w="1500" w:type="dxa"/>
            <w:tcBorders>
              <w:top w:val="nil"/>
              <w:left w:val="single" w:color="auto" w:sz="4" w:space="0"/>
              <w:bottom w:val="nil"/>
              <w:right w:val="single" w:color="auto" w:sz="4" w:space="0"/>
            </w:tcBorders>
            <w:vAlign w:val="center"/>
          </w:tcPr>
          <w:p w14:paraId="187A22FF">
            <w:pPr>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4060.</w:t>
            </w:r>
            <w:r>
              <w:rPr>
                <w:rFonts w:hint="eastAsia" w:asciiTheme="minorEastAsia" w:hAnsiTheme="minorEastAsia" w:cstheme="minorEastAsia"/>
                <w:color w:val="auto"/>
                <w:sz w:val="21"/>
                <w:szCs w:val="21"/>
                <w:lang w:val="en-US" w:eastAsia="zh-CN"/>
              </w:rPr>
              <w:t>8</w:t>
            </w:r>
            <w:r>
              <w:rPr>
                <w:rFonts w:hint="eastAsia" w:asciiTheme="minorEastAsia" w:hAnsiTheme="minorEastAsia" w:eastAsiaTheme="minorEastAsia" w:cstheme="minorEastAsia"/>
                <w:color w:val="auto"/>
                <w:sz w:val="21"/>
                <w:szCs w:val="21"/>
              </w:rPr>
              <w:t xml:space="preserve"> </w:t>
            </w:r>
          </w:p>
        </w:tc>
        <w:tc>
          <w:tcPr>
            <w:tcW w:w="1468" w:type="dxa"/>
            <w:tcBorders>
              <w:top w:val="nil"/>
              <w:left w:val="single" w:color="auto" w:sz="4" w:space="0"/>
              <w:bottom w:val="nil"/>
              <w:right w:val="single" w:color="auto" w:sz="4" w:space="0"/>
            </w:tcBorders>
            <w:vAlign w:val="center"/>
          </w:tcPr>
          <w:p w14:paraId="00CF3509">
            <w:pPr>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6248.1 </w:t>
            </w:r>
          </w:p>
        </w:tc>
        <w:tc>
          <w:tcPr>
            <w:tcW w:w="1489" w:type="dxa"/>
            <w:tcBorders>
              <w:top w:val="nil"/>
              <w:left w:val="single" w:color="auto" w:sz="4" w:space="0"/>
              <w:bottom w:val="nil"/>
              <w:right w:val="nil"/>
            </w:tcBorders>
            <w:vAlign w:val="center"/>
          </w:tcPr>
          <w:p w14:paraId="53B2AE9C">
            <w:pPr>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5721.</w:t>
            </w:r>
            <w:r>
              <w:rPr>
                <w:rFonts w:hint="eastAsia" w:asciiTheme="minorEastAsia" w:hAnsiTheme="minorEastAsia" w:cstheme="minorEastAsia"/>
                <w:color w:val="auto"/>
                <w:sz w:val="21"/>
                <w:szCs w:val="21"/>
                <w:lang w:val="en-US" w:eastAsia="zh-CN"/>
              </w:rPr>
              <w:t>7</w:t>
            </w:r>
            <w:r>
              <w:rPr>
                <w:rFonts w:hint="eastAsia" w:asciiTheme="minorEastAsia" w:hAnsiTheme="minorEastAsia" w:eastAsiaTheme="minorEastAsia" w:cstheme="minorEastAsia"/>
                <w:color w:val="auto"/>
                <w:sz w:val="21"/>
                <w:szCs w:val="21"/>
              </w:rPr>
              <w:t xml:space="preserve"> </w:t>
            </w:r>
          </w:p>
        </w:tc>
      </w:tr>
      <w:tr w14:paraId="7E197F95">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83" w:hRule="atLeast"/>
          <w:jc w:val="center"/>
        </w:trPr>
        <w:tc>
          <w:tcPr>
            <w:tcW w:w="4384" w:type="dxa"/>
            <w:tcBorders>
              <w:top w:val="nil"/>
              <w:left w:val="nil"/>
              <w:bottom w:val="single" w:color="auto" w:sz="12" w:space="0"/>
              <w:right w:val="single" w:color="auto" w:sz="4" w:space="0"/>
            </w:tcBorders>
            <w:vAlign w:val="center"/>
          </w:tcPr>
          <w:p w14:paraId="08C8A202">
            <w:pPr>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其他服务业</w:t>
            </w:r>
          </w:p>
        </w:tc>
        <w:tc>
          <w:tcPr>
            <w:tcW w:w="1500" w:type="dxa"/>
            <w:tcBorders>
              <w:top w:val="nil"/>
              <w:left w:val="single" w:color="auto" w:sz="4" w:space="0"/>
              <w:bottom w:val="single" w:color="auto" w:sz="12" w:space="0"/>
              <w:right w:val="single" w:color="auto" w:sz="4" w:space="0"/>
            </w:tcBorders>
            <w:vAlign w:val="center"/>
          </w:tcPr>
          <w:p w14:paraId="15CA3332">
            <w:pPr>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3227.8 </w:t>
            </w:r>
          </w:p>
        </w:tc>
        <w:tc>
          <w:tcPr>
            <w:tcW w:w="1468" w:type="dxa"/>
            <w:tcBorders>
              <w:top w:val="nil"/>
              <w:left w:val="single" w:color="auto" w:sz="4" w:space="0"/>
              <w:bottom w:val="single" w:color="auto" w:sz="12" w:space="0"/>
              <w:right w:val="single" w:color="auto" w:sz="4" w:space="0"/>
            </w:tcBorders>
            <w:vAlign w:val="center"/>
          </w:tcPr>
          <w:p w14:paraId="152E6FDD">
            <w:pPr>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3623.4 </w:t>
            </w:r>
          </w:p>
        </w:tc>
        <w:tc>
          <w:tcPr>
            <w:tcW w:w="1489" w:type="dxa"/>
            <w:tcBorders>
              <w:top w:val="nil"/>
              <w:left w:val="single" w:color="auto" w:sz="4" w:space="0"/>
              <w:bottom w:val="single" w:color="auto" w:sz="12" w:space="0"/>
              <w:right w:val="nil"/>
            </w:tcBorders>
            <w:vAlign w:val="center"/>
          </w:tcPr>
          <w:p w14:paraId="46453DAA">
            <w:pPr>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3365.2 </w:t>
            </w:r>
          </w:p>
        </w:tc>
      </w:tr>
    </w:tbl>
    <w:p w14:paraId="598370E8">
      <w:pPr>
        <w:keepNext w:val="0"/>
        <w:keepLines w:val="0"/>
        <w:pageBreakBefore w:val="0"/>
        <w:kinsoku/>
        <w:overflowPunct/>
        <w:topLinePunct w:val="0"/>
        <w:autoSpaceDE/>
        <w:autoSpaceDN/>
        <w:bidi w:val="0"/>
        <w:adjustRightInd/>
        <w:snapToGrid/>
        <w:spacing w:line="578" w:lineRule="exact"/>
        <w:ind w:firstLine="640" w:firstLineChars="200"/>
        <w:textAlignment w:val="auto"/>
        <w:outlineLvl w:val="0"/>
        <w:rPr>
          <w:rFonts w:hint="eastAsia" w:ascii="黑体" w:hAnsi="Calibri" w:eastAsia="黑体" w:cs="Times New Roman"/>
          <w:color w:val="auto"/>
          <w:sz w:val="32"/>
          <w:szCs w:val="32"/>
        </w:rPr>
      </w:pPr>
      <w:r>
        <w:rPr>
          <w:rFonts w:hint="eastAsia" w:ascii="黑体" w:hAnsi="Calibri" w:eastAsia="黑体" w:cs="Times New Roman"/>
          <w:color w:val="auto"/>
          <w:sz w:val="32"/>
          <w:szCs w:val="32"/>
        </w:rPr>
        <w:t>四、教育</w:t>
      </w:r>
    </w:p>
    <w:p w14:paraId="50EF7FED">
      <w:pPr>
        <w:keepNext w:val="0"/>
        <w:keepLines w:val="0"/>
        <w:pageBreakBefore w:val="0"/>
        <w:kinsoku/>
        <w:overflowPunct/>
        <w:topLinePunct w:val="0"/>
        <w:autoSpaceDE/>
        <w:autoSpaceDN/>
        <w:bidi w:val="0"/>
        <w:adjustRightInd/>
        <w:snapToGrid/>
        <w:spacing w:line="578"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（一）法人单位数和从业人员</w:t>
      </w:r>
    </w:p>
    <w:p w14:paraId="293CED57">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2023年末，全区共有教育法人单位189个，从业人员6792人，分别比2018年末增长3.3%和14.0%。其中，行政事业及非企业法人单位98个，从业人员5486人，分别比2018年末下降12.5%和增长19.6%。</w:t>
      </w:r>
    </w:p>
    <w:p w14:paraId="5D82F74F">
      <w:pPr>
        <w:keepNext w:val="0"/>
        <w:keepLines w:val="0"/>
        <w:pageBreakBefore w:val="0"/>
        <w:kinsoku/>
        <w:overflowPunct/>
        <w:topLinePunct w:val="0"/>
        <w:autoSpaceDE/>
        <w:autoSpaceDN/>
        <w:bidi w:val="0"/>
        <w:adjustRightInd/>
        <w:snapToGrid/>
        <w:spacing w:line="578"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（二）主要经济指标</w:t>
      </w:r>
    </w:p>
    <w:p w14:paraId="7EDE3872">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2023年末，教育企业法人单位资产总计19453.</w:t>
      </w:r>
      <w:r>
        <w:rPr>
          <w:rFonts w:hint="eastAsia" w:ascii="仿宋_GB2312" w:hAnsi="仿宋_GB2312" w:eastAsia="仿宋_GB2312" w:cs="仿宋_GB2312"/>
          <w:color w:val="auto"/>
          <w:sz w:val="32"/>
          <w:szCs w:val="32"/>
          <w:u w:val="none"/>
          <w:lang w:val="en-US" w:eastAsia="zh-CN"/>
        </w:rPr>
        <w:t>9</w:t>
      </w:r>
      <w:r>
        <w:rPr>
          <w:rFonts w:hint="eastAsia" w:ascii="仿宋_GB2312" w:hAnsi="仿宋_GB2312" w:eastAsia="仿宋_GB2312" w:cs="仿宋_GB2312"/>
          <w:color w:val="auto"/>
          <w:sz w:val="32"/>
          <w:szCs w:val="32"/>
          <w:u w:val="none"/>
          <w:lang w:eastAsia="zh-CN"/>
        </w:rPr>
        <w:t>万元，比2018年末下降52.4%；负债合计43714.4万元，比2018年末增长371.0%。全年实现营业收入12040.1万元，比2018年下降4.1%。</w:t>
      </w:r>
    </w:p>
    <w:p w14:paraId="70842221">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行政事业及非企业法人单位年末资产174506.6万元，比2018年末增长55.7%。本年支出（费用）合计117683.0万元，比2018年增长53.1%。</w:t>
      </w:r>
    </w:p>
    <w:p w14:paraId="7EEF3C9D">
      <w:pPr>
        <w:keepNext w:val="0"/>
        <w:keepLines w:val="0"/>
        <w:pageBreakBefore w:val="0"/>
        <w:kinsoku/>
        <w:overflowPunct/>
        <w:topLinePunct w:val="0"/>
        <w:autoSpaceDE/>
        <w:autoSpaceDN/>
        <w:bidi w:val="0"/>
        <w:adjustRightInd/>
        <w:snapToGrid/>
        <w:spacing w:line="578" w:lineRule="exact"/>
        <w:ind w:firstLine="640" w:firstLineChars="200"/>
        <w:textAlignment w:val="auto"/>
        <w:outlineLvl w:val="0"/>
        <w:rPr>
          <w:rFonts w:hint="eastAsia" w:ascii="黑体" w:hAnsi="Calibri" w:eastAsia="黑体" w:cs="Times New Roman"/>
          <w:color w:val="auto"/>
          <w:sz w:val="32"/>
          <w:szCs w:val="32"/>
        </w:rPr>
      </w:pPr>
      <w:r>
        <w:rPr>
          <w:rFonts w:hint="eastAsia" w:ascii="黑体" w:hAnsi="Calibri" w:eastAsia="黑体" w:cs="Times New Roman"/>
          <w:color w:val="auto"/>
          <w:sz w:val="32"/>
          <w:szCs w:val="32"/>
        </w:rPr>
        <w:t>五、卫生和社会工作</w:t>
      </w:r>
    </w:p>
    <w:p w14:paraId="60A7256B">
      <w:pPr>
        <w:keepNext w:val="0"/>
        <w:keepLines w:val="0"/>
        <w:pageBreakBefore w:val="0"/>
        <w:kinsoku/>
        <w:overflowPunct/>
        <w:topLinePunct w:val="0"/>
        <w:autoSpaceDE/>
        <w:autoSpaceDN/>
        <w:bidi w:val="0"/>
        <w:adjustRightInd/>
        <w:snapToGrid/>
        <w:spacing w:line="578"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（一）法人单位数和从业人员</w:t>
      </w:r>
    </w:p>
    <w:p w14:paraId="1859D79C">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2023年末，全区共有卫生和社会工作法人单位80个，从业人员3195人，分别比2018年末增长29.0%和30.7%。其中，行政事业及非企业法人单位41个，比2018年末下降2.4%；从业人员2576人，比2018年末增长17.9%。</w:t>
      </w:r>
    </w:p>
    <w:p w14:paraId="3836D789">
      <w:pPr>
        <w:keepNext w:val="0"/>
        <w:keepLines w:val="0"/>
        <w:pageBreakBefore w:val="0"/>
        <w:kinsoku/>
        <w:overflowPunct/>
        <w:topLinePunct w:val="0"/>
        <w:autoSpaceDE/>
        <w:autoSpaceDN/>
        <w:bidi w:val="0"/>
        <w:adjustRightInd/>
        <w:snapToGrid/>
        <w:spacing w:line="578"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（二）主要经济指标</w:t>
      </w:r>
    </w:p>
    <w:p w14:paraId="757A0BA2">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2023年末，卫生和社会工作企业法人单位资产总计8120.4万元，比2018年末下降77.7%；负债合计</w:t>
      </w:r>
      <w:r>
        <w:rPr>
          <w:rFonts w:hint="eastAsia" w:ascii="仿宋_GB2312" w:hAnsi="仿宋_GB2312" w:eastAsia="仿宋_GB2312" w:cs="仿宋_GB2312"/>
          <w:color w:val="auto"/>
          <w:sz w:val="32"/>
          <w:szCs w:val="32"/>
        </w:rPr>
        <w:t>8438.8</w:t>
      </w:r>
      <w:r>
        <w:rPr>
          <w:rFonts w:hint="eastAsia" w:ascii="仿宋_GB2312" w:hAnsi="仿宋_GB2312" w:eastAsia="仿宋_GB2312" w:cs="仿宋_GB2312"/>
          <w:color w:val="auto"/>
          <w:sz w:val="32"/>
          <w:szCs w:val="32"/>
          <w:u w:val="none"/>
          <w:lang w:eastAsia="zh-CN"/>
        </w:rPr>
        <w:t>万元，比2018年末下降45.0%。全年实现营业收入</w:t>
      </w:r>
      <w:r>
        <w:rPr>
          <w:rFonts w:hint="eastAsia" w:ascii="仿宋_GB2312" w:hAnsi="仿宋_GB2312" w:eastAsia="仿宋_GB2312" w:cs="仿宋_GB2312"/>
          <w:color w:val="auto"/>
          <w:sz w:val="32"/>
          <w:szCs w:val="32"/>
        </w:rPr>
        <w:t>8469.</w:t>
      </w:r>
      <w:r>
        <w:rPr>
          <w:rFonts w:hint="eastAsia" w:ascii="仿宋_GB2312" w:hAnsi="仿宋_GB2312" w:eastAsia="仿宋_GB2312" w:cs="仿宋_GB2312"/>
          <w:color w:val="auto"/>
          <w:sz w:val="32"/>
          <w:szCs w:val="32"/>
          <w:lang w:val="en-US" w:eastAsia="zh-CN"/>
        </w:rPr>
        <w:t>1</w:t>
      </w:r>
      <w:r>
        <w:rPr>
          <w:rFonts w:hint="eastAsia" w:ascii="仿宋_GB2312" w:hAnsi="仿宋_GB2312" w:eastAsia="仿宋_GB2312" w:cs="仿宋_GB2312"/>
          <w:color w:val="auto"/>
          <w:sz w:val="32"/>
          <w:szCs w:val="32"/>
          <w:u w:val="none"/>
          <w:lang w:eastAsia="zh-CN"/>
        </w:rPr>
        <w:t>万元，比2018年增长302.9%。</w:t>
      </w:r>
    </w:p>
    <w:p w14:paraId="178A64B8">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行政事业及非企业法人单位年末资产98768.9万元，比2018年末增长24.8%。本年支出（费用）合计99148.4万元，比2018年增长77.8%。</w:t>
      </w:r>
    </w:p>
    <w:p w14:paraId="48623028">
      <w:pPr>
        <w:keepNext w:val="0"/>
        <w:keepLines w:val="0"/>
        <w:pageBreakBefore w:val="0"/>
        <w:kinsoku/>
        <w:overflowPunct/>
        <w:topLinePunct w:val="0"/>
        <w:autoSpaceDE/>
        <w:autoSpaceDN/>
        <w:bidi w:val="0"/>
        <w:adjustRightInd/>
        <w:snapToGrid/>
        <w:spacing w:line="578" w:lineRule="exact"/>
        <w:ind w:firstLine="640" w:firstLineChars="200"/>
        <w:textAlignment w:val="auto"/>
        <w:outlineLvl w:val="0"/>
        <w:rPr>
          <w:rFonts w:hint="eastAsia" w:ascii="黑体" w:hAnsi="Calibri" w:eastAsia="黑体" w:cs="Times New Roman"/>
          <w:color w:val="auto"/>
          <w:sz w:val="32"/>
          <w:szCs w:val="32"/>
        </w:rPr>
      </w:pPr>
      <w:r>
        <w:rPr>
          <w:rFonts w:hint="eastAsia" w:ascii="黑体" w:hAnsi="Calibri" w:eastAsia="黑体" w:cs="Times New Roman"/>
          <w:color w:val="auto"/>
          <w:sz w:val="32"/>
          <w:szCs w:val="32"/>
        </w:rPr>
        <w:t>六、文化、体育和娱乐业</w:t>
      </w:r>
    </w:p>
    <w:p w14:paraId="20EC44B4">
      <w:pPr>
        <w:keepNext w:val="0"/>
        <w:keepLines w:val="0"/>
        <w:pageBreakBefore w:val="0"/>
        <w:kinsoku/>
        <w:overflowPunct/>
        <w:topLinePunct w:val="0"/>
        <w:autoSpaceDE/>
        <w:autoSpaceDN/>
        <w:bidi w:val="0"/>
        <w:adjustRightInd/>
        <w:snapToGrid/>
        <w:spacing w:line="578"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（一）法人单位数和从业人员</w:t>
      </w:r>
    </w:p>
    <w:p w14:paraId="2628DFB1">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2023年末，全区共有文化、体育和娱乐业法人单位390个，从业人员1611人，分别比2018年末增长153.2%和63.2%。其中，企业法人单位367个，从业人员1492人，分别比2018年末增长165.9%和71.1%。</w:t>
      </w:r>
    </w:p>
    <w:p w14:paraId="39008A4F">
      <w:pPr>
        <w:keepNext w:val="0"/>
        <w:keepLines w:val="0"/>
        <w:pageBreakBefore w:val="0"/>
        <w:kinsoku/>
        <w:overflowPunct/>
        <w:topLinePunct w:val="0"/>
        <w:autoSpaceDE/>
        <w:autoSpaceDN/>
        <w:bidi w:val="0"/>
        <w:adjustRightInd/>
        <w:snapToGrid/>
        <w:spacing w:line="578"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（二）主要经济指标</w:t>
      </w:r>
    </w:p>
    <w:p w14:paraId="5456AB1B">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2023年末，文化、体育和娱乐业企业法人单位资产总计143910.</w:t>
      </w:r>
      <w:r>
        <w:rPr>
          <w:rFonts w:hint="eastAsia" w:ascii="仿宋_GB2312" w:hAnsi="仿宋_GB2312" w:eastAsia="仿宋_GB2312" w:cs="仿宋_GB2312"/>
          <w:color w:val="auto"/>
          <w:sz w:val="32"/>
          <w:szCs w:val="32"/>
          <w:u w:val="none"/>
          <w:lang w:val="en-US" w:eastAsia="zh-CN"/>
        </w:rPr>
        <w:t>2</w:t>
      </w:r>
      <w:r>
        <w:rPr>
          <w:rFonts w:hint="eastAsia" w:ascii="仿宋_GB2312" w:hAnsi="仿宋_GB2312" w:eastAsia="仿宋_GB2312" w:cs="仿宋_GB2312"/>
          <w:color w:val="auto"/>
          <w:sz w:val="32"/>
          <w:szCs w:val="32"/>
          <w:u w:val="none"/>
          <w:lang w:eastAsia="zh-CN"/>
        </w:rPr>
        <w:t>万元，比2018年末增长1003.6%；负债合计118040.</w:t>
      </w:r>
      <w:r>
        <w:rPr>
          <w:rFonts w:hint="eastAsia" w:ascii="仿宋_GB2312" w:hAnsi="仿宋_GB2312" w:eastAsia="仿宋_GB2312" w:cs="仿宋_GB2312"/>
          <w:color w:val="auto"/>
          <w:sz w:val="32"/>
          <w:szCs w:val="32"/>
          <w:u w:val="none"/>
          <w:lang w:val="en-US" w:eastAsia="zh-CN"/>
        </w:rPr>
        <w:t>8</w:t>
      </w:r>
      <w:r>
        <w:rPr>
          <w:rFonts w:hint="eastAsia" w:ascii="仿宋_GB2312" w:hAnsi="仿宋_GB2312" w:eastAsia="仿宋_GB2312" w:cs="仿宋_GB2312"/>
          <w:color w:val="auto"/>
          <w:sz w:val="32"/>
          <w:szCs w:val="32"/>
          <w:u w:val="none"/>
          <w:lang w:eastAsia="zh-CN"/>
        </w:rPr>
        <w:t>万元，比2018年末增长2064.3%。全年实现营业收入28774.1万元，比2018年增长196.1%。</w:t>
      </w:r>
    </w:p>
    <w:p w14:paraId="37300F74">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行政事业及非企业法人单位年末资产394.3万元，比2018年末下降82.3%。本年支出（费用）合计812.7万元，比2018年下降58.7%。</w:t>
      </w:r>
    </w:p>
    <w:p w14:paraId="7596AB95">
      <w:pPr>
        <w:keepNext w:val="0"/>
        <w:keepLines w:val="0"/>
        <w:pageBreakBefore w:val="0"/>
        <w:kinsoku/>
        <w:overflowPunct/>
        <w:topLinePunct w:val="0"/>
        <w:autoSpaceDE/>
        <w:autoSpaceDN/>
        <w:bidi w:val="0"/>
        <w:adjustRightInd/>
        <w:snapToGrid/>
        <w:spacing w:line="578" w:lineRule="exact"/>
        <w:ind w:firstLine="640" w:firstLineChars="200"/>
        <w:textAlignment w:val="auto"/>
        <w:outlineLvl w:val="0"/>
        <w:rPr>
          <w:rFonts w:hint="eastAsia" w:ascii="黑体" w:hAnsi="Calibri" w:eastAsia="黑体" w:cs="Times New Roman"/>
          <w:color w:val="auto"/>
          <w:sz w:val="32"/>
          <w:szCs w:val="32"/>
        </w:rPr>
      </w:pPr>
      <w:r>
        <w:rPr>
          <w:rFonts w:hint="eastAsia" w:ascii="黑体" w:hAnsi="Calibri" w:eastAsia="黑体" w:cs="Times New Roman"/>
          <w:color w:val="auto"/>
          <w:sz w:val="32"/>
          <w:szCs w:val="32"/>
        </w:rPr>
        <w:t>七、公共管理、社会保障和社会组织</w:t>
      </w:r>
    </w:p>
    <w:p w14:paraId="4C287365">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2023年末，全区共有公共管理、社会保障和社会组织法人单位643个，比2018年末下降34.3%；从业人员10525人，比2018年末增长28.5%。行政事业及非企业法人单位本年支出（费用）合计970634.3万元，比2018年增长146.1%。</w:t>
      </w:r>
    </w:p>
    <w:p w14:paraId="204E00E3">
      <w:pPr>
        <w:keepNext w:val="0"/>
        <w:keepLines w:val="0"/>
        <w:pageBreakBefore w:val="0"/>
        <w:widowControl/>
        <w:kinsoku/>
        <w:wordWrap/>
        <w:overflowPunct/>
        <w:topLinePunct w:val="0"/>
        <w:autoSpaceDE/>
        <w:autoSpaceDN/>
        <w:bidi w:val="0"/>
        <w:adjustRightInd/>
        <w:snapToGrid/>
        <w:spacing w:line="578" w:lineRule="exact"/>
        <w:ind w:firstLine="0" w:firstLineChars="0"/>
        <w:jc w:val="left"/>
        <w:textAlignment w:val="auto"/>
        <w:rPr>
          <w:rFonts w:hint="eastAsia" w:eastAsia="黑体" w:cs="黑体"/>
          <w:bCs/>
          <w:color w:val="auto"/>
          <w:kern w:val="0"/>
          <w:sz w:val="32"/>
          <w:szCs w:val="32"/>
        </w:rPr>
      </w:pPr>
    </w:p>
    <w:p w14:paraId="4941B849">
      <w:pPr>
        <w:keepNext w:val="0"/>
        <w:keepLines w:val="0"/>
        <w:pageBreakBefore w:val="0"/>
        <w:widowControl/>
        <w:kinsoku/>
        <w:wordWrap/>
        <w:overflowPunct/>
        <w:topLinePunct w:val="0"/>
        <w:autoSpaceDE/>
        <w:autoSpaceDN/>
        <w:bidi w:val="0"/>
        <w:adjustRightInd/>
        <w:snapToGrid/>
        <w:spacing w:line="578" w:lineRule="exact"/>
        <w:ind w:firstLine="0" w:firstLineChars="0"/>
        <w:jc w:val="left"/>
        <w:textAlignment w:val="auto"/>
        <w:rPr>
          <w:rFonts w:cs="仿宋_GB2312"/>
          <w:color w:val="auto"/>
          <w:sz w:val="32"/>
          <w:szCs w:val="32"/>
        </w:rPr>
      </w:pPr>
      <w:r>
        <w:rPr>
          <w:rFonts w:hint="eastAsia" w:eastAsia="黑体" w:cs="黑体"/>
          <w:bCs/>
          <w:color w:val="auto"/>
          <w:kern w:val="0"/>
          <w:sz w:val="32"/>
          <w:szCs w:val="32"/>
        </w:rPr>
        <w:t>注释：</w:t>
      </w:r>
    </w:p>
    <w:p w14:paraId="00E22645">
      <w:pPr>
        <w:pStyle w:val="2"/>
        <w:keepNext w:val="0"/>
        <w:keepLines w:val="0"/>
        <w:pageBreakBefore w:val="0"/>
        <w:widowControl w:val="0"/>
        <w:kinsoku/>
        <w:wordWrap/>
        <w:overflowPunct/>
        <w:topLinePunct w:val="0"/>
        <w:autoSpaceDE/>
        <w:autoSpaceDN/>
        <w:bidi w:val="0"/>
        <w:adjustRightInd/>
        <w:snapToGrid/>
        <w:spacing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[1]本公报中的行政事业及非企业法人单位，不包括执行企业会计制度的事业法人单位、民办非企业法人单位和基金会，农民专业合作社，农村集体经济组织和除宗教活动场所以外的机构类型为其他组织机构的法人单位。</w:t>
      </w:r>
    </w:p>
    <w:p w14:paraId="57E2B3FB">
      <w:pPr>
        <w:pStyle w:val="2"/>
        <w:keepNext w:val="0"/>
        <w:keepLines w:val="0"/>
        <w:pageBreakBefore w:val="0"/>
        <w:widowControl w:val="0"/>
        <w:kinsoku/>
        <w:wordWrap/>
        <w:overflowPunct/>
        <w:topLinePunct w:val="0"/>
        <w:autoSpaceDE/>
        <w:autoSpaceDN/>
        <w:bidi w:val="0"/>
        <w:adjustRightInd/>
        <w:snapToGrid/>
        <w:spacing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[2]登记注册统计类别：根据国家统计局、国家市场监督管理总局《关于市场主体统计分类的划分规定》（国统字〔2023〕14号）确定，包括内资企业、港澳台投资企业和外商投资企业，以及农民专业合作社（联合社）等其他统计类别。</w:t>
      </w:r>
    </w:p>
    <w:p w14:paraId="503A3D06">
      <w:pPr>
        <w:pStyle w:val="2"/>
        <w:keepNext w:val="0"/>
        <w:keepLines w:val="0"/>
        <w:pageBreakBefore w:val="0"/>
        <w:widowControl w:val="0"/>
        <w:kinsoku/>
        <w:wordWrap/>
        <w:overflowPunct/>
        <w:topLinePunct w:val="0"/>
        <w:autoSpaceDE/>
        <w:autoSpaceDN/>
        <w:bidi w:val="0"/>
        <w:adjustRightInd/>
        <w:snapToGrid/>
        <w:spacing w:line="578" w:lineRule="exact"/>
        <w:ind w:firstLine="632"/>
        <w:jc w:val="both"/>
        <w:textAlignment w:val="center"/>
        <w:rPr>
          <w:rFonts w:hint="default"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eastAsia="zh-CN"/>
        </w:rPr>
        <w:t>[3]表中的合计数和部分计算数据因小数取舍而产生的误差，均未作机械调整。为保证数据精确度，个别数据保留2位小数。</w:t>
      </w:r>
    </w:p>
    <w:sectPr>
      <w:footerReference r:id="rId3" w:type="default"/>
      <w:pgSz w:w="11906" w:h="16838"/>
      <w:pgMar w:top="1871" w:right="1531" w:bottom="1871" w:left="1531"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07B92">
    <w:pPr>
      <w:pStyle w:val="5"/>
    </w:pPr>
    <w:r>
      <w:rPr>
        <w:sz w:val="18"/>
      </w:rPr>
      <mc:AlternateContent>
        <mc:Choice Requires="wps">
          <w:drawing>
            <wp:anchor distT="0" distB="0" distL="114300" distR="114300" simplePos="0" relativeHeight="251659264" behindDoc="0" locked="0" layoutInCell="1" allowOverlap="1">
              <wp:simplePos x="0" y="0"/>
              <wp:positionH relativeFrom="margin">
                <wp:posOffset>4789805</wp:posOffset>
              </wp:positionH>
              <wp:positionV relativeFrom="paragraph">
                <wp:posOffset>-389890</wp:posOffset>
              </wp:positionV>
              <wp:extent cx="826135" cy="535940"/>
              <wp:effectExtent l="0" t="0" r="0" b="0"/>
              <wp:wrapNone/>
              <wp:docPr id="1" name="文本框 1"/>
              <wp:cNvGraphicFramePr/>
              <a:graphic xmlns:a="http://schemas.openxmlformats.org/drawingml/2006/main">
                <a:graphicData uri="http://schemas.microsoft.com/office/word/2010/wordprocessingShape">
                  <wps:wsp>
                    <wps:cNvSpPr txBox="1"/>
                    <wps:spPr>
                      <a:xfrm>
                        <a:off x="0" y="0"/>
                        <a:ext cx="826135" cy="535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04610B">
                          <w:pPr>
                            <w:pStyle w:val="5"/>
                            <w:jc w:val="center"/>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eastAsia="zh-CN"/>
                            </w:rPr>
                            <w:t>—</w:t>
                          </w:r>
                          <w:r>
                            <w:rPr>
                              <w:rFonts w:hint="eastAsia" w:asciiTheme="majorEastAsia" w:hAnsiTheme="majorEastAsia" w:eastAsiaTheme="majorEastAsia" w:cstheme="majorEastAsia"/>
                              <w:sz w:val="28"/>
                              <w:szCs w:val="28"/>
                              <w:lang w:val="en-US" w:eastAsia="zh-CN"/>
                            </w:rPr>
                            <w:t xml:space="preserve"> </w:t>
                          </w:r>
                          <w:r>
                            <w:rPr>
                              <w:rFonts w:hint="eastAsia" w:asciiTheme="majorEastAsia" w:hAnsiTheme="majorEastAsia" w:eastAsiaTheme="majorEastAsia" w:cstheme="majorEastAsia"/>
                              <w:sz w:val="28"/>
                              <w:szCs w:val="28"/>
                              <w:lang w:eastAsia="zh-CN"/>
                            </w:rPr>
                            <w:fldChar w:fldCharType="begin"/>
                          </w:r>
                          <w:r>
                            <w:rPr>
                              <w:rFonts w:hint="eastAsia" w:asciiTheme="majorEastAsia" w:hAnsiTheme="majorEastAsia" w:eastAsiaTheme="majorEastAsia" w:cstheme="majorEastAsia"/>
                              <w:sz w:val="28"/>
                              <w:szCs w:val="28"/>
                              <w:lang w:eastAsia="zh-CN"/>
                            </w:rPr>
                            <w:instrText xml:space="preserve"> PAGE  \* MERGEFORMAT </w:instrText>
                          </w:r>
                          <w:r>
                            <w:rPr>
                              <w:rFonts w:hint="eastAsia" w:asciiTheme="majorEastAsia" w:hAnsiTheme="majorEastAsia" w:eastAsiaTheme="majorEastAsia" w:cstheme="majorEastAsia"/>
                              <w:sz w:val="28"/>
                              <w:szCs w:val="28"/>
                              <w:lang w:eastAsia="zh-CN"/>
                            </w:rPr>
                            <w:fldChar w:fldCharType="separate"/>
                          </w:r>
                          <w:r>
                            <w:rPr>
                              <w:rFonts w:hint="eastAsia" w:asciiTheme="majorEastAsia" w:hAnsiTheme="majorEastAsia" w:eastAsiaTheme="majorEastAsia" w:cstheme="majorEastAsia"/>
                              <w:sz w:val="28"/>
                              <w:szCs w:val="28"/>
                              <w:lang w:eastAsia="zh-CN"/>
                            </w:rPr>
                            <w:t>1</w:t>
                          </w:r>
                          <w:r>
                            <w:rPr>
                              <w:rFonts w:hint="eastAsia" w:asciiTheme="majorEastAsia" w:hAnsiTheme="majorEastAsia" w:eastAsiaTheme="majorEastAsia" w:cstheme="majorEastAsia"/>
                              <w:sz w:val="28"/>
                              <w:szCs w:val="28"/>
                              <w:lang w:eastAsia="zh-CN"/>
                            </w:rPr>
                            <w:fldChar w:fldCharType="end"/>
                          </w:r>
                          <w:r>
                            <w:rPr>
                              <w:rFonts w:hint="eastAsia" w:asciiTheme="majorEastAsia" w:hAnsiTheme="majorEastAsia" w:eastAsiaTheme="majorEastAsia" w:cstheme="majorEastAsia"/>
                              <w:sz w:val="28"/>
                              <w:szCs w:val="28"/>
                              <w:lang w:val="en-US" w:eastAsia="zh-CN"/>
                            </w:rPr>
                            <w:t xml:space="preserve"> —</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77.15pt;margin-top:-30.7pt;height:42.2pt;width:65.05pt;mso-position-horizontal-relative:margin;z-index:251659264;mso-width-relative:page;mso-height-relative:page;" filled="f" stroked="f" coordsize="21600,21600" o:gfxdata="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no4ik2gAAAAoBAAAPAAAAAAAAAAEAIAAAACIAAABkcnMvZG93&#10;bnJldi54bWxQSwECFAAUAAAACACHTuJATZi44zcCAABhBAAADgAAAAAAAAABACAAAAApAQAAZHJz&#10;L2Uyb0RvYy54bWxQSwUGAAAAAAYABgBZAQAA0gUAAAAA&#10;">
              <v:fill on="f" focussize="0,0"/>
              <v:stroke on="f" weight="0.5pt"/>
              <v:imagedata o:title=""/>
              <o:lock v:ext="edit" aspectratio="f"/>
              <v:textbox inset="0mm,0mm,0mm,0mm">
                <w:txbxContent>
                  <w:p w14:paraId="3A04610B">
                    <w:pPr>
                      <w:pStyle w:val="5"/>
                      <w:jc w:val="center"/>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eastAsia="zh-CN"/>
                      </w:rPr>
                      <w:t>—</w:t>
                    </w:r>
                    <w:r>
                      <w:rPr>
                        <w:rFonts w:hint="eastAsia" w:asciiTheme="majorEastAsia" w:hAnsiTheme="majorEastAsia" w:eastAsiaTheme="majorEastAsia" w:cstheme="majorEastAsia"/>
                        <w:sz w:val="28"/>
                        <w:szCs w:val="28"/>
                        <w:lang w:val="en-US" w:eastAsia="zh-CN"/>
                      </w:rPr>
                      <w:t xml:space="preserve"> </w:t>
                    </w:r>
                    <w:r>
                      <w:rPr>
                        <w:rFonts w:hint="eastAsia" w:asciiTheme="majorEastAsia" w:hAnsiTheme="majorEastAsia" w:eastAsiaTheme="majorEastAsia" w:cstheme="majorEastAsia"/>
                        <w:sz w:val="28"/>
                        <w:szCs w:val="28"/>
                        <w:lang w:eastAsia="zh-CN"/>
                      </w:rPr>
                      <w:fldChar w:fldCharType="begin"/>
                    </w:r>
                    <w:r>
                      <w:rPr>
                        <w:rFonts w:hint="eastAsia" w:asciiTheme="majorEastAsia" w:hAnsiTheme="majorEastAsia" w:eastAsiaTheme="majorEastAsia" w:cstheme="majorEastAsia"/>
                        <w:sz w:val="28"/>
                        <w:szCs w:val="28"/>
                        <w:lang w:eastAsia="zh-CN"/>
                      </w:rPr>
                      <w:instrText xml:space="preserve"> PAGE  \* MERGEFORMAT </w:instrText>
                    </w:r>
                    <w:r>
                      <w:rPr>
                        <w:rFonts w:hint="eastAsia" w:asciiTheme="majorEastAsia" w:hAnsiTheme="majorEastAsia" w:eastAsiaTheme="majorEastAsia" w:cstheme="majorEastAsia"/>
                        <w:sz w:val="28"/>
                        <w:szCs w:val="28"/>
                        <w:lang w:eastAsia="zh-CN"/>
                      </w:rPr>
                      <w:fldChar w:fldCharType="separate"/>
                    </w:r>
                    <w:r>
                      <w:rPr>
                        <w:rFonts w:hint="eastAsia" w:asciiTheme="majorEastAsia" w:hAnsiTheme="majorEastAsia" w:eastAsiaTheme="majorEastAsia" w:cstheme="majorEastAsia"/>
                        <w:sz w:val="28"/>
                        <w:szCs w:val="28"/>
                        <w:lang w:eastAsia="zh-CN"/>
                      </w:rPr>
                      <w:t>1</w:t>
                    </w:r>
                    <w:r>
                      <w:rPr>
                        <w:rFonts w:hint="eastAsia" w:asciiTheme="majorEastAsia" w:hAnsiTheme="majorEastAsia" w:eastAsiaTheme="majorEastAsia" w:cstheme="majorEastAsia"/>
                        <w:sz w:val="28"/>
                        <w:szCs w:val="28"/>
                        <w:lang w:eastAsia="zh-CN"/>
                      </w:rPr>
                      <w:fldChar w:fldCharType="end"/>
                    </w:r>
                    <w:r>
                      <w:rPr>
                        <w:rFonts w:hint="eastAsia" w:asciiTheme="majorEastAsia" w:hAnsiTheme="majorEastAsia" w:eastAsiaTheme="majorEastAsia" w:cstheme="majorEastAsia"/>
                        <w:sz w:val="28"/>
                        <w:szCs w:val="28"/>
                        <w:lang w:val="en-US" w:eastAsia="zh-CN"/>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B16CEF"/>
    <w:rsid w:val="01C930A4"/>
    <w:rsid w:val="03CA22AA"/>
    <w:rsid w:val="0A2F6AEE"/>
    <w:rsid w:val="0ACE6D29"/>
    <w:rsid w:val="0AD20204"/>
    <w:rsid w:val="0D7A6C5F"/>
    <w:rsid w:val="0EE36A60"/>
    <w:rsid w:val="111F6523"/>
    <w:rsid w:val="132252F8"/>
    <w:rsid w:val="13CE6D1A"/>
    <w:rsid w:val="14616D7F"/>
    <w:rsid w:val="1CC92CA0"/>
    <w:rsid w:val="2D095750"/>
    <w:rsid w:val="3AFC1C7E"/>
    <w:rsid w:val="3FB16CEF"/>
    <w:rsid w:val="465A54E7"/>
    <w:rsid w:val="49B63F0D"/>
    <w:rsid w:val="4DB629A5"/>
    <w:rsid w:val="56B929BA"/>
    <w:rsid w:val="69E86F1A"/>
    <w:rsid w:val="6A004FF2"/>
    <w:rsid w:val="70411536"/>
    <w:rsid w:val="704E6E10"/>
    <w:rsid w:val="79EA5CC1"/>
    <w:rsid w:val="7C3D46BB"/>
    <w:rsid w:val="7F6200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First Indent 2"/>
    <w:basedOn w:val="3"/>
    <w:next w:val="1"/>
    <w:qFormat/>
    <w:uiPriority w:val="0"/>
    <w:pPr>
      <w:ind w:firstLine="420" w:firstLineChars="200"/>
    </w:pPr>
  </w:style>
  <w:style w:type="paragraph" w:styleId="3">
    <w:name w:val="Body Text Indent"/>
    <w:basedOn w:val="1"/>
    <w:next w:val="1"/>
    <w:qFormat/>
    <w:uiPriority w:val="99"/>
    <w:pPr>
      <w:adjustRightInd w:val="0"/>
      <w:spacing w:line="360" w:lineRule="atLeast"/>
      <w:ind w:firstLine="600"/>
      <w:textAlignment w:val="baseline"/>
    </w:pPr>
    <w:rPr>
      <w:kern w:val="0"/>
      <w:sz w:val="30"/>
      <w:szCs w:val="20"/>
    </w:rPr>
  </w:style>
  <w:style w:type="paragraph" w:styleId="4">
    <w:name w:val="Normal Indent"/>
    <w:basedOn w:val="1"/>
    <w:next w:val="1"/>
    <w:qFormat/>
    <w:uiPriority w:val="0"/>
  </w:style>
  <w:style w:type="paragraph" w:styleId="5">
    <w:name w:val="footer"/>
    <w:basedOn w:val="1"/>
    <w:next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2482</Words>
  <Characters>3320</Characters>
  <Lines>0</Lines>
  <Paragraphs>0</Paragraphs>
  <TotalTime>3</TotalTime>
  <ScaleCrop>false</ScaleCrop>
  <LinksUpToDate>false</LinksUpToDate>
  <CharactersWithSpaces>3363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2025-04-21T09:36:00Z</dcterms:created>
  <dc:creator>Administrator</dc:creator>
  <cp:lastModifiedBy>Lxy</cp:lastModifiedBy>
  <cp:lastPrinted>2025-04-22T06:44:00Z</cp:lastPrinted>
  <dcterms:modified xsi:type="dcterms:W3CDTF">2025-04-30T01:46:04Z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E1883973843348408536E83A7ED3A124_13</vt:lpwstr>
  </property>
</Properties>
</file>