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1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jc w:val="center"/>
              <w:rPr>
                <w:vertAlign w:val="baseline"/>
              </w:rPr>
            </w:pPr>
            <w:r>
              <w:rPr>
                <w:rFonts w:hint="eastAsia" w:ascii="方正小标宋简体" w:hAnsi="方正小标宋简体" w:eastAsia="方正小标宋简体" w:cs="方正小标宋简体"/>
                <w:sz w:val="32"/>
                <w:szCs w:val="32"/>
                <w:vertAlign w:val="baseline"/>
              </w:rPr>
              <w:t>中华人民共和国未成年人保护法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ind w:firstLine="420" w:firstLineChars="200"/>
              <w:rPr>
                <w:rFonts w:hint="eastAsia"/>
                <w:vertAlign w:val="baseline"/>
              </w:rPr>
            </w:pPr>
            <w:r>
              <w:rPr>
                <w:rFonts w:hint="eastAsia"/>
                <w:vertAlign w:val="baseline"/>
              </w:rPr>
              <w:t>第五十八条　学校、幼儿园周边不得设置营业性娱乐场所、酒吧、互联网上网服务营业场所等不适宜未成年人活动的场所。营业性歌舞娱乐场所、酒吧、互联网上网服务营业场所等不适宜未成年人活动场所的经营者，不得允许未成年人进入；游艺娱乐场所设置的电子游戏设备，除国家法定节假日外，不得向未成年人提供。经营者应当在显著位置设置未成年人禁入、限入标志；</w:t>
            </w:r>
            <w:r>
              <w:rPr>
                <w:rFonts w:hint="eastAsia"/>
                <w:b/>
                <w:bCs/>
                <w:vertAlign w:val="baseline"/>
              </w:rPr>
              <w:t>对难以判明是否是未成年人的，应当要求其出示身份证件。</w:t>
            </w:r>
          </w:p>
          <w:p>
            <w:pPr>
              <w:ind w:firstLine="420" w:firstLineChars="200"/>
              <w:rPr>
                <w:vertAlign w:val="baseline"/>
              </w:rPr>
            </w:pPr>
            <w:r>
              <w:rPr>
                <w:rFonts w:hint="eastAsia"/>
                <w:vertAlign w:val="baseline"/>
              </w:rPr>
              <w:t>第一百二十三条　相关经营者违反本法第五十八条、第五十九条第一款、第六十条规定的，由文化和旅游、市场监督管理、烟草专卖、公安等部门按照职责分工责令限期改正，给予警告，没收违法所得，可以并处五万元以下罚款；拒不改正或者情节严重的，责令停业整顿或者吊销营业执照、吊销相关许可证，可以并处五万元以上五十万元以下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jc w:val="center"/>
              <w:rPr>
                <w:vertAlign w:val="baseline"/>
              </w:rPr>
            </w:pPr>
            <w:r>
              <w:rPr>
                <w:rFonts w:hint="eastAsia" w:ascii="方正小标宋简体" w:hAnsi="方正小标宋简体" w:eastAsia="方正小标宋简体" w:cs="方正小标宋简体"/>
                <w:sz w:val="32"/>
                <w:szCs w:val="32"/>
                <w:vertAlign w:val="baseline"/>
              </w:rPr>
              <w:t>未成年人文身治理工作办法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ind w:firstLine="422" w:firstLineChars="200"/>
              <w:rPr>
                <w:rFonts w:hint="eastAsia"/>
                <w:b/>
                <w:bCs/>
                <w:vertAlign w:val="baseline"/>
              </w:rPr>
            </w:pPr>
            <w:r>
              <w:rPr>
                <w:rFonts w:hint="eastAsia"/>
                <w:b/>
                <w:bCs/>
                <w:vertAlign w:val="baseline"/>
              </w:rPr>
              <w:t>第四条  任何企业、组织和个人不得向未成年人提供文身服务，不得胁迫、引诱、教唆未成年人文身。</w:t>
            </w:r>
          </w:p>
          <w:p>
            <w:pPr>
              <w:ind w:firstLine="422" w:firstLineChars="200"/>
              <w:rPr>
                <w:rFonts w:hint="eastAsia"/>
                <w:b w:val="0"/>
                <w:bCs w:val="0"/>
                <w:vertAlign w:val="baseline"/>
              </w:rPr>
            </w:pPr>
            <w:r>
              <w:rPr>
                <w:rFonts w:hint="eastAsia"/>
                <w:b/>
                <w:bCs/>
                <w:vertAlign w:val="baseline"/>
              </w:rPr>
              <w:t>第五条  文身服务提供者应当在显著位置标明不向未成年人提供文身服务。</w:t>
            </w:r>
            <w:r>
              <w:rPr>
                <w:rFonts w:hint="eastAsia"/>
                <w:b w:val="0"/>
                <w:bCs w:val="0"/>
                <w:vertAlign w:val="baseline"/>
              </w:rPr>
              <w:t>对难以判明是否是未成年人的，应当要求其出示身份证件。</w:t>
            </w:r>
          </w:p>
          <w:p>
            <w:pPr>
              <w:ind w:firstLine="420" w:firstLineChars="200"/>
              <w:rPr>
                <w:rFonts w:hint="eastAsia"/>
                <w:vertAlign w:val="baseline"/>
              </w:rPr>
            </w:pPr>
            <w:r>
              <w:rPr>
                <w:rFonts w:hint="eastAsia"/>
                <w:vertAlign w:val="baseline"/>
              </w:rPr>
              <w:t xml:space="preserve">本办法所称文身服务提供者，主要是指专业文身机构、提供文身服务的医疗卫生机构(含医疗美容机构)和美容美发机构等各类主体，也包括提供文身服务的社会组织。 </w:t>
            </w:r>
          </w:p>
          <w:p>
            <w:pPr>
              <w:ind w:firstLine="420" w:firstLineChars="200"/>
              <w:rPr>
                <w:rFonts w:hint="eastAsia"/>
                <w:vertAlign w:val="baseline"/>
              </w:rPr>
            </w:pPr>
            <w:r>
              <w:rPr>
                <w:rFonts w:hint="eastAsia"/>
                <w:b w:val="0"/>
                <w:bCs w:val="0"/>
                <w:vertAlign w:val="baseline"/>
              </w:rPr>
              <w:t xml:space="preserve">第十一条  各地各相关部门要加强监督检查，加大查处力度。文身服务提供者违反规定向未成年人提供文身服务的，有关部门依照有关规定予以处理。其他市场主体未依法取得营业执照向未成年人提供文身服务的，依照《无证无照经营查处办法》等规定进行查处。个人违反规定擅自向未成年人提供文身服务的，依法追究其法律责任。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pStyle w:val="2"/>
              <w:keepNext w:val="0"/>
              <w:keepLines w:val="0"/>
              <w:widowControl/>
              <w:suppressLineNumbers w:val="0"/>
              <w:jc w:val="center"/>
              <w:rPr>
                <w:rFonts w:hint="eastAsia"/>
                <w:vertAlign w:val="baseline"/>
              </w:rPr>
            </w:pPr>
            <w:r>
              <w:rPr>
                <w:rFonts w:hint="eastAsia" w:ascii="方正小标宋简体" w:hAnsi="方正小标宋简体" w:eastAsia="方正小标宋简体" w:cs="方正小标宋简体"/>
                <w:b w:val="0"/>
                <w:kern w:val="2"/>
                <w:sz w:val="32"/>
                <w:szCs w:val="32"/>
                <w:vertAlign w:val="baseline"/>
                <w:lang w:val="en-US" w:eastAsia="zh-CN" w:bidi="ar-SA"/>
              </w:rPr>
              <w:t>中华人民共和国市场主体登记管理条例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ind w:firstLine="420" w:firstLineChars="200"/>
              <w:rPr>
                <w:rFonts w:hint="eastAsia"/>
                <w:vertAlign w:val="baseline"/>
              </w:rPr>
            </w:pPr>
            <w:r>
              <w:rPr>
                <w:rFonts w:hint="eastAsia"/>
                <w:vertAlign w:val="baseline"/>
                <w:lang w:val="en-US" w:eastAsia="zh-CN"/>
              </w:rPr>
              <w:t>　第三条</w:t>
            </w:r>
            <w:bookmarkStart w:id="0" w:name="tiao_3_kuan_1"/>
            <w:bookmarkEnd w:id="0"/>
            <w:r>
              <w:rPr>
                <w:rFonts w:hint="eastAsia"/>
                <w:vertAlign w:val="baseline"/>
                <w:lang w:val="en-US" w:eastAsia="zh-CN"/>
              </w:rPr>
              <w:t>　市场主体应当依照本条例办理登记。</w:t>
            </w:r>
            <w:r>
              <w:rPr>
                <w:rFonts w:hint="eastAsia"/>
                <w:b/>
                <w:bCs/>
                <w:vertAlign w:val="baseline"/>
                <w:lang w:val="en-US" w:eastAsia="zh-CN"/>
              </w:rPr>
              <w:t>未经登记，不得以市场主体名义从事经营活动。</w:t>
            </w:r>
            <w:r>
              <w:rPr>
                <w:rFonts w:hint="eastAsia"/>
                <w:vertAlign w:val="baseline"/>
                <w:lang w:val="en-US" w:eastAsia="zh-CN"/>
              </w:rPr>
              <w:t>法律、行政法规规定无需办理登记的除外。</w:t>
            </w:r>
            <w:bookmarkStart w:id="1" w:name="tiao_3_kuan_2"/>
            <w:bookmarkEnd w:id="1"/>
            <w:r>
              <w:rPr>
                <w:rFonts w:hint="eastAsia"/>
                <w:vertAlign w:val="baseline"/>
                <w:lang w:val="en-US" w:eastAsia="zh-CN"/>
              </w:rPr>
              <w:t>市场主体登记包括设立登记、变更登记和注销登记。</w:t>
            </w:r>
          </w:p>
          <w:p>
            <w:pPr>
              <w:ind w:firstLine="420" w:firstLineChars="200"/>
              <w:rPr>
                <w:rFonts w:hint="eastAsia"/>
                <w:vertAlign w:val="baseline"/>
              </w:rPr>
            </w:pPr>
            <w:r>
              <w:rPr>
                <w:rFonts w:hint="eastAsia"/>
                <w:vertAlign w:val="baseline"/>
              </w:rPr>
              <w:t>　第二十四条　</w:t>
            </w:r>
            <w:r>
              <w:rPr>
                <w:rFonts w:hint="eastAsia"/>
                <w:b/>
                <w:bCs/>
                <w:vertAlign w:val="baseline"/>
              </w:rPr>
              <w:t>市场主体变更登记事项，应当自作出变更决议、决定或者法定变更事项发生之日起30日内向登记机关申请变更登记。</w:t>
            </w:r>
            <w:r>
              <w:rPr>
                <w:rFonts w:hint="eastAsia"/>
                <w:vertAlign w:val="baseline"/>
              </w:rPr>
              <w:t>市场主体变更登记事项属于依法须经批准的，申请人应当在批准文件有效期内向登记机关申请变更登记。</w:t>
            </w:r>
          </w:p>
          <w:p>
            <w:pPr>
              <w:ind w:firstLine="420" w:firstLineChars="200"/>
              <w:rPr>
                <w:rFonts w:hint="eastAsia"/>
                <w:vertAlign w:val="baseline"/>
              </w:rPr>
            </w:pPr>
            <w:r>
              <w:rPr>
                <w:rFonts w:hint="eastAsia"/>
                <w:vertAlign w:val="baseline"/>
              </w:rPr>
              <w:t>第四十三条</w:t>
            </w:r>
            <w:bookmarkStart w:id="2" w:name="tiao_43_kuan_1"/>
            <w:bookmarkEnd w:id="2"/>
            <w:r>
              <w:rPr>
                <w:rFonts w:hint="eastAsia"/>
                <w:vertAlign w:val="baseline"/>
              </w:rPr>
              <w:t>　未经设立登记从事经营活动的，由登记机关责令改正，没收违法所得；拒不改正的，处1万元以上10万元以下的罚款；情节严重的，依法责令关闭停业，并处10万元以上50万元以下的罚款。</w:t>
            </w:r>
          </w:p>
          <w:p>
            <w:pPr>
              <w:ind w:firstLine="420" w:firstLineChars="200"/>
              <w:rPr>
                <w:rFonts w:hint="eastAsia" w:ascii="宋体" w:hAnsi="宋体" w:eastAsia="宋体" w:cs="宋体"/>
                <w:sz w:val="24"/>
                <w:szCs w:val="24"/>
              </w:rPr>
            </w:pPr>
            <w:r>
              <w:rPr>
                <w:rFonts w:hint="eastAsia"/>
                <w:vertAlign w:val="baseline"/>
              </w:rPr>
              <w:t>第四十六条</w:t>
            </w:r>
            <w:bookmarkStart w:id="3" w:name="tiao_46_kuan_1"/>
            <w:bookmarkEnd w:id="3"/>
            <w:r>
              <w:rPr>
                <w:rFonts w:hint="eastAsia"/>
                <w:vertAlign w:val="baseline"/>
              </w:rPr>
              <w:t>　市场主体未依照本条例办理变更登记的，由登记机关责令改正；拒不改正的，处1万元以上10万元以下的罚款；情节严重的，吊销营业执照。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ind w:firstLine="640" w:firstLineChars="200"/>
              <w:jc w:val="center"/>
              <w:rPr>
                <w:rFonts w:hint="eastAsia"/>
                <w:vertAlign w:val="baseline"/>
              </w:rPr>
            </w:pPr>
            <w:r>
              <w:rPr>
                <w:rFonts w:hint="eastAsia" w:ascii="方正小标宋简体" w:hAnsi="方正小标宋简体" w:eastAsia="方正小标宋简体" w:cs="方正小标宋简体"/>
                <w:b w:val="0"/>
                <w:kern w:val="2"/>
                <w:sz w:val="32"/>
                <w:szCs w:val="32"/>
                <w:vertAlign w:val="baseline"/>
                <w:lang w:val="en-US" w:eastAsia="zh-CN" w:bidi="ar-SA"/>
              </w:rPr>
              <w:t>关于印发《医疗美容项目分级管理目录》的通知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5" w:type="dxa"/>
          </w:tcPr>
          <w:p>
            <w:pPr>
              <w:ind w:firstLine="420" w:firstLineChars="200"/>
              <w:rPr>
                <w:rFonts w:hint="eastAsia"/>
                <w:vertAlign w:val="baseline"/>
              </w:rPr>
            </w:pPr>
            <w:r>
              <w:rPr>
                <w:rFonts w:hint="eastAsia"/>
                <w:vertAlign w:val="baseline"/>
              </w:rPr>
              <w:t>根据卫生部办公厅通知（卫办医政发〔2009〕220号），以激光治疗开展去文身属于有创皮肤治疗，属于医疗美容项目。</w:t>
            </w:r>
            <w:r>
              <w:rPr>
                <w:rFonts w:hint="eastAsia"/>
                <w:b/>
                <w:bCs/>
                <w:vertAlign w:val="baseline"/>
              </w:rPr>
              <w:t>开展激光治疗去文身的机构，应依法取得《医疗机构执业许可证》或《诊所备案凭证》等合法的证件，且核准登记的“诊疗科目”需含“医疗美容科”。操作人员应取得《医师资格证书》和《医师执业证书》，</w:t>
            </w:r>
            <w:r>
              <w:rPr>
                <w:rFonts w:hint="eastAsia"/>
                <w:vertAlign w:val="baseline"/>
              </w:rPr>
              <w:t>医师执业地点、执业类别、执业范围要与实际开展医师执业活动的情况相符。切记，</w:t>
            </w:r>
            <w:r>
              <w:rPr>
                <w:rFonts w:hint="eastAsia"/>
                <w:b/>
                <w:bCs/>
                <w:vertAlign w:val="baseline"/>
              </w:rPr>
              <w:t>任何单位和个人未取得相应的资质均不能开展去文身的医疗美容项目，</w:t>
            </w:r>
            <w:r>
              <w:rPr>
                <w:rFonts w:hint="eastAsia"/>
                <w:vertAlign w:val="baseline"/>
              </w:rPr>
              <w:t>否则将会受到相应的行政处罚。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5" w:hRule="atLeast"/>
        </w:trPr>
        <w:tc>
          <w:tcPr>
            <w:tcW w:w="10155" w:type="dxa"/>
          </w:tcPr>
          <w:p>
            <w:pPr>
              <w:ind w:firstLine="420" w:firstLineChars="200"/>
              <w:jc w:val="center"/>
              <w:rPr>
                <w:rFonts w:hint="eastAsia" w:ascii="方正小标宋简体" w:hAnsi="方正小标宋简体" w:eastAsia="方正小标宋简体" w:cs="方正小标宋简体"/>
                <w:vertAlign w:val="baseline"/>
                <w:lang w:val="en-US" w:eastAsia="zh-CN"/>
              </w:rPr>
            </w:pPr>
            <w:r>
              <w:rPr>
                <w:rFonts w:hint="eastAsia" w:ascii="方正小标宋简体" w:hAnsi="方正小标宋简体" w:eastAsia="方正小标宋简体" w:cs="方正小标宋简体"/>
                <w:vertAlign w:val="baseline"/>
                <w:lang w:val="en-US" w:eastAsia="zh-CN"/>
              </w:rPr>
              <w:t>签收回执（执法单位留存）</w:t>
            </w:r>
          </w:p>
          <w:p>
            <w:pPr>
              <w:ind w:firstLine="420" w:firstLineChars="200"/>
              <w:rPr>
                <w:rFonts w:hint="eastAsia"/>
                <w:vertAlign w:val="baseline"/>
              </w:rPr>
            </w:pPr>
          </w:p>
          <w:p>
            <w:pPr>
              <w:ind w:firstLine="480" w:firstLineChars="200"/>
              <w:rPr>
                <w:rFonts w:hint="eastAsia"/>
                <w:sz w:val="24"/>
                <w:szCs w:val="32"/>
                <w:vertAlign w:val="baseline"/>
                <w:lang w:val="en-US" w:eastAsia="zh-CN"/>
              </w:rPr>
            </w:pPr>
          </w:p>
          <w:p>
            <w:pPr>
              <w:ind w:firstLine="480" w:firstLineChars="200"/>
              <w:rPr>
                <w:rFonts w:hint="eastAsia"/>
                <w:vertAlign w:val="baseline"/>
              </w:rPr>
            </w:pPr>
            <w:bookmarkStart w:id="4" w:name="_GoBack"/>
            <w:bookmarkEnd w:id="4"/>
            <w:r>
              <w:rPr>
                <w:rFonts w:hint="eastAsia"/>
                <w:sz w:val="24"/>
                <w:szCs w:val="32"/>
                <w:vertAlign w:val="baseline"/>
                <w:lang w:val="en-US" w:eastAsia="zh-CN"/>
              </w:rPr>
              <w:t>签收人：                                签收日期：     年     月    日</w:t>
            </w:r>
          </w:p>
        </w:tc>
      </w:tr>
    </w:tbl>
    <w:p>
      <w:pPr>
        <w:rPr>
          <w:sz w:val="2"/>
          <w:szCs w:val="2"/>
        </w:rPr>
      </w:pPr>
    </w:p>
    <w:sectPr>
      <w:pgSz w:w="11906" w:h="16838"/>
      <w:pgMar w:top="1100" w:right="1009" w:bottom="930" w:left="106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327040"/>
    <w:rsid w:val="33D63F86"/>
    <w:rsid w:val="58AB4225"/>
    <w:rsid w:val="60327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2025-06-24T06:18:00Z</dcterms:created>
  <dc:creator>墨守成规1388909485</dc:creator>
  <cp:lastModifiedBy>墨守成规1388909485</cp:lastModifiedBy>
  <dcterms:modified xsi:type="dcterms:W3CDTF">2025-06-24T10:55:06Z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