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keepLines/>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b w:val="0"/>
          <w:bCs/>
          <w:lang w:val="en-US" w:eastAsia="zh-CN"/>
        </w:rPr>
      </w:pPr>
      <w:r>
        <w:rPr>
          <w:rFonts w:hint="eastAsia" w:ascii="方正小标宋简体" w:hAnsi="方正小标宋简体" w:eastAsia="方正小标宋简体" w:cs="方正小标宋简体"/>
          <w:b w:val="0"/>
          <w:bCs/>
          <w:lang w:val="en-US" w:eastAsia="zh-CN"/>
        </w:rPr>
        <w:t>平潭综合实验区市场监督管理局</w:t>
      </w:r>
    </w:p>
    <w:p>
      <w:pPr>
        <w:pStyle w:val="2"/>
        <w:keepNext/>
        <w:keepLines/>
        <w:pageBreakBefore w:val="0"/>
        <w:widowControl w:val="0"/>
        <w:kinsoku/>
        <w:wordWrap/>
        <w:overflowPunct/>
        <w:topLinePunct w:val="0"/>
        <w:autoSpaceDE/>
        <w:autoSpaceDN/>
        <w:bidi w:val="0"/>
        <w:adjustRightInd/>
        <w:snapToGrid/>
        <w:spacing w:before="0" w:after="0" w:line="500" w:lineRule="exact"/>
        <w:jc w:val="center"/>
        <w:textAlignment w:val="auto"/>
        <w:rPr>
          <w:rFonts w:hint="eastAsia" w:ascii="方正小标宋简体" w:hAnsi="方正小标宋简体" w:eastAsia="方正小标宋简体" w:cs="方正小标宋简体"/>
          <w:b w:val="0"/>
          <w:bCs/>
        </w:rPr>
      </w:pPr>
      <w:r>
        <w:rPr>
          <w:rFonts w:hint="eastAsia" w:ascii="方正小标宋简体" w:hAnsi="方正小标宋简体" w:eastAsia="方正小标宋简体" w:cs="方正小标宋简体"/>
          <w:b w:val="0"/>
          <w:bCs/>
        </w:rPr>
        <w:t>责令</w:t>
      </w:r>
      <w:r>
        <w:rPr>
          <w:rFonts w:hint="eastAsia" w:ascii="方正小标宋简体" w:hAnsi="方正小标宋简体" w:eastAsia="方正小标宋简体" w:cs="方正小标宋简体"/>
          <w:b w:val="0"/>
          <w:bCs/>
          <w:lang w:val="en-US" w:eastAsia="zh-CN"/>
        </w:rPr>
        <w:t>改正</w:t>
      </w:r>
      <w:r>
        <w:rPr>
          <w:rFonts w:hint="eastAsia" w:ascii="方正小标宋简体" w:hAnsi="方正小标宋简体" w:eastAsia="方正小标宋简体" w:cs="方正小标宋简体"/>
          <w:b w:val="0"/>
          <w:bCs/>
        </w:rPr>
        <w:t>通知书</w:t>
      </w:r>
    </w:p>
    <w:p>
      <w:pPr>
        <w:pStyle w:val="2"/>
        <w:keepNext/>
        <w:keepLines/>
        <w:pageBreakBefore w:val="0"/>
        <w:widowControl w:val="0"/>
        <w:kinsoku/>
        <w:wordWrap/>
        <w:overflowPunct/>
        <w:topLinePunct w:val="0"/>
        <w:autoSpaceDE/>
        <w:autoSpaceDN/>
        <w:bidi w:val="0"/>
        <w:adjustRightInd/>
        <w:snapToGrid/>
        <w:spacing w:before="0" w:after="0" w:line="500" w:lineRule="exact"/>
        <w:jc w:val="center"/>
        <w:textAlignment w:val="auto"/>
        <w:rPr>
          <w:rFonts w:hint="eastAsia" w:ascii="仿宋_GB2312" w:hAnsi="仿宋_GB2312" w:eastAsia="仿宋_GB2312" w:cs="仿宋_GB2312"/>
          <w:b w:val="0"/>
          <w:kern w:val="2"/>
          <w:sz w:val="32"/>
          <w:szCs w:val="32"/>
          <w:lang w:val="en-US" w:eastAsia="zh-CN" w:bidi="ar-SA"/>
        </w:rPr>
      </w:pPr>
      <w:r>
        <w:rPr>
          <w:rFonts w:hint="eastAsia" w:ascii="仿宋_GB2312" w:hAnsi="仿宋_GB2312" w:eastAsia="仿宋_GB2312" w:cs="仿宋_GB2312"/>
          <w:b w:val="0"/>
          <w:kern w:val="2"/>
          <w:sz w:val="32"/>
          <w:szCs w:val="32"/>
          <w:lang w:val="en-US" w:eastAsia="zh-CN" w:bidi="ar-SA"/>
        </w:rPr>
        <w:t>岚市监</w:t>
      </w:r>
      <w:r>
        <w:rPr>
          <w:rFonts w:hint="eastAsia" w:ascii="仿宋_GB2312" w:hAnsi="仿宋_GB2312" w:eastAsia="仿宋_GB2312" w:cs="仿宋_GB2312"/>
          <w:b w:val="0"/>
          <w:kern w:val="2"/>
          <w:sz w:val="32"/>
          <w:szCs w:val="32"/>
          <w:u w:val="single"/>
          <w:lang w:val="en-US" w:eastAsia="zh-CN" w:bidi="ar-SA"/>
        </w:rPr>
        <w:t xml:space="preserve">   </w:t>
      </w:r>
      <w:r>
        <w:rPr>
          <w:rFonts w:hint="eastAsia" w:ascii="仿宋_GB2312" w:hAnsi="仿宋_GB2312" w:eastAsia="仿宋_GB2312" w:cs="仿宋_GB2312"/>
          <w:b w:val="0"/>
          <w:kern w:val="2"/>
          <w:sz w:val="32"/>
          <w:szCs w:val="32"/>
          <w:lang w:val="en-US" w:eastAsia="zh-CN" w:bidi="ar-SA"/>
        </w:rPr>
        <w:t>责通[2025]</w:t>
      </w:r>
      <w:r>
        <w:rPr>
          <w:rFonts w:hint="eastAsia" w:ascii="仿宋_GB2312" w:hAnsi="仿宋_GB2312" w:eastAsia="仿宋_GB2312" w:cs="仿宋_GB2312"/>
          <w:b w:val="0"/>
          <w:kern w:val="2"/>
          <w:sz w:val="32"/>
          <w:szCs w:val="32"/>
          <w:u w:val="single"/>
          <w:lang w:val="en-US" w:eastAsia="zh-CN" w:bidi="ar-SA"/>
        </w:rPr>
        <w:t xml:space="preserve">    </w:t>
      </w:r>
      <w:r>
        <w:rPr>
          <w:rFonts w:hint="eastAsia" w:ascii="仿宋_GB2312" w:hAnsi="仿宋_GB2312" w:eastAsia="仿宋_GB2312" w:cs="仿宋_GB2312"/>
          <w:b w:val="0"/>
          <w:kern w:val="2"/>
          <w:sz w:val="32"/>
          <w:szCs w:val="32"/>
          <w:lang w:val="en-US" w:eastAsia="zh-CN" w:bidi="ar-SA"/>
        </w:rPr>
        <w:t>号</w:t>
      </w:r>
    </w:p>
    <w:p>
      <w:pPr>
        <w:keepNext w:val="0"/>
        <w:keepLines w:val="0"/>
        <w:pageBreakBefore w:val="0"/>
        <w:widowControl w:val="0"/>
        <w:kinsoku/>
        <w:wordWrap w:val="0"/>
        <w:overflowPunct/>
        <w:topLinePunct/>
        <w:autoSpaceDE/>
        <w:autoSpaceDN/>
        <w:bidi w:val="0"/>
        <w:adjustRightInd/>
        <w:snapToGrid/>
        <w:spacing w:line="560" w:lineRule="exact"/>
        <w:textAlignment w:val="auto"/>
        <w:rPr>
          <w:rFonts w:hint="eastAsia" w:ascii="仿宋_GB2312" w:hAnsi="仿宋_GB2312" w:eastAsia="仿宋_GB2312" w:cs="仿宋_GB2312"/>
          <w:sz w:val="32"/>
          <w:szCs w:val="32"/>
          <w:u w:val="single"/>
          <w:lang w:val="en-US" w:eastAsia="zh-CN"/>
        </w:rPr>
      </w:pPr>
    </w:p>
    <w:p>
      <w:pPr>
        <w:keepNext w:val="0"/>
        <w:keepLines w:val="0"/>
        <w:pageBreakBefore w:val="0"/>
        <w:widowControl w:val="0"/>
        <w:kinsoku/>
        <w:wordWrap w:val="0"/>
        <w:overflowPunct/>
        <w:topLinePunct/>
        <w:autoSpaceDE/>
        <w:autoSpaceDN/>
        <w:bidi w:val="0"/>
        <w:adjustRightInd/>
        <w:snapToGrid/>
        <w:spacing w:line="56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u w:val="none"/>
          <w:lang w:val="en-US" w:eastAsia="zh-CN"/>
        </w:rPr>
        <w:t>（</w:t>
      </w:r>
      <w:r>
        <w:rPr>
          <w:rFonts w:hint="eastAsia" w:ascii="仿宋_GB2312" w:hAnsi="仿宋_GB2312" w:eastAsia="仿宋_GB2312" w:cs="仿宋_GB2312"/>
          <w:sz w:val="32"/>
          <w:szCs w:val="32"/>
          <w:u w:val="none"/>
          <w:lang w:val="en-US" w:eastAsia="zh-CN"/>
        </w:rPr>
        <w:sym w:font="Wingdings" w:char="00A8"/>
      </w:r>
      <w:r>
        <w:rPr>
          <w:rFonts w:hint="eastAsia" w:ascii="仿宋_GB2312" w:hAnsi="仿宋_GB2312" w:eastAsia="仿宋_GB2312" w:cs="仿宋_GB2312"/>
          <w:sz w:val="32"/>
          <w:szCs w:val="32"/>
          <w:u w:val="none"/>
          <w:lang w:val="en-US" w:eastAsia="zh-CN"/>
        </w:rPr>
        <w:t>统一社会信用代码</w:t>
      </w:r>
      <w:r>
        <w:rPr>
          <w:rFonts w:hint="eastAsia" w:ascii="仿宋_GB2312" w:hAnsi="仿宋_GB2312" w:eastAsia="仿宋_GB2312" w:cs="仿宋_GB2312"/>
          <w:sz w:val="32"/>
          <w:szCs w:val="32"/>
          <w:u w:val="none"/>
          <w:lang w:val="en-US" w:eastAsia="zh-CN"/>
        </w:rPr>
        <w:sym w:font="Wingdings" w:char="00A8"/>
      </w:r>
      <w:r>
        <w:rPr>
          <w:rFonts w:hint="eastAsia" w:ascii="仿宋_GB2312" w:hAnsi="仿宋_GB2312" w:eastAsia="仿宋_GB2312" w:cs="仿宋_GB2312"/>
          <w:sz w:val="32"/>
          <w:szCs w:val="32"/>
          <w:u w:val="none"/>
          <w:lang w:val="en-US" w:eastAsia="zh-CN"/>
        </w:rPr>
        <w:t>居民身份证号码：</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rPr>
        <w:t>：</w:t>
      </w:r>
    </w:p>
    <w:p>
      <w:pPr>
        <w:keepNext w:val="0"/>
        <w:keepLines w:val="0"/>
        <w:pageBreakBefore w:val="0"/>
        <w:widowControl w:val="0"/>
        <w:kinsoku/>
        <w:wordWrap w:val="0"/>
        <w:overflowPunct/>
        <w:topLinePunct/>
        <w:autoSpaceDE/>
        <w:autoSpaceDN/>
        <w:bidi w:val="0"/>
        <w:adjustRightInd/>
        <w:snapToGrid/>
        <w:spacing w:line="560" w:lineRule="exact"/>
        <w:ind w:firstLine="632"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经查</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你（单位）</w:t>
      </w:r>
      <w:r>
        <w:rPr>
          <w:rFonts w:hint="eastAsia" w:ascii="仿宋_GB2312" w:hAnsi="仿宋_GB2312" w:eastAsia="仿宋_GB2312" w:cs="仿宋_GB2312"/>
          <w:sz w:val="32"/>
          <w:szCs w:val="32"/>
          <w:u w:val="single"/>
        </w:rPr>
        <w:sym w:font="Wingdings" w:char="00A8"/>
      </w:r>
      <w:r>
        <w:rPr>
          <w:rFonts w:hint="eastAsia" w:ascii="仿宋_GB2312" w:hAnsi="仿宋_GB2312" w:eastAsia="仿宋_GB2312" w:cs="仿宋_GB2312"/>
          <w:sz w:val="32"/>
          <w:szCs w:val="32"/>
          <w:u w:val="single"/>
          <w:lang w:val="en-US" w:eastAsia="zh-CN"/>
        </w:rPr>
        <w:t>未依法办理市场主体设立登记，从事向未成年人提供文身经营服务违法行为；</w:t>
      </w:r>
      <w:r>
        <w:rPr>
          <w:rFonts w:hint="eastAsia" w:ascii="仿宋_GB2312" w:hAnsi="仿宋_GB2312" w:eastAsia="仿宋_GB2312" w:cs="仿宋_GB2312"/>
          <w:sz w:val="32"/>
          <w:szCs w:val="32"/>
          <w:u w:val="single"/>
          <w:lang w:val="en-US" w:eastAsia="zh-CN"/>
        </w:rPr>
        <w:sym w:font="Wingdings" w:char="00A8"/>
      </w:r>
      <w:r>
        <w:rPr>
          <w:rFonts w:hint="eastAsia" w:ascii="仿宋_GB2312" w:hAnsi="仿宋_GB2312" w:eastAsia="仿宋_GB2312" w:cs="仿宋_GB2312"/>
          <w:sz w:val="32"/>
          <w:szCs w:val="32"/>
          <w:u w:val="single"/>
          <w:lang w:val="en-US" w:eastAsia="zh-CN"/>
        </w:rPr>
        <w:t>未依法办理市场主体设立登记，从事文身经营服务违法行为；</w:t>
      </w:r>
      <w:r>
        <w:rPr>
          <w:rFonts w:hint="eastAsia" w:ascii="仿宋_GB2312" w:hAnsi="仿宋_GB2312" w:eastAsia="仿宋_GB2312" w:cs="仿宋_GB2312"/>
          <w:sz w:val="32"/>
          <w:szCs w:val="32"/>
          <w:u w:val="single"/>
          <w:lang w:val="en-US" w:eastAsia="zh-CN"/>
        </w:rPr>
        <w:sym w:font="Wingdings" w:char="00A8"/>
      </w:r>
      <w:r>
        <w:rPr>
          <w:rFonts w:hint="eastAsia" w:ascii="仿宋_GB2312" w:hAnsi="仿宋_GB2312" w:eastAsia="仿宋_GB2312" w:cs="仿宋_GB2312"/>
          <w:sz w:val="32"/>
          <w:szCs w:val="32"/>
          <w:u w:val="single"/>
          <w:lang w:val="en-US" w:eastAsia="zh-CN"/>
        </w:rPr>
        <w:t>未依法办理市场主体登记事项变更登记；</w:t>
      </w:r>
      <w:r>
        <w:rPr>
          <w:rFonts w:hint="eastAsia" w:ascii="仿宋_GB2312" w:hAnsi="仿宋_GB2312" w:eastAsia="仿宋_GB2312" w:cs="仿宋_GB2312"/>
          <w:sz w:val="32"/>
          <w:szCs w:val="32"/>
          <w:u w:val="single"/>
          <w:lang w:val="en-US" w:eastAsia="zh-CN"/>
        </w:rPr>
        <w:sym w:font="Wingdings" w:char="00A8"/>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24"/>
          <w:szCs w:val="24"/>
          <w:u w:val="single"/>
          <w:lang w:val="en-US" w:eastAsia="zh-CN"/>
        </w:rPr>
        <w:t>（其他违反市场监管领域法律法规的行为）</w:t>
      </w:r>
      <w:r>
        <w:rPr>
          <w:rFonts w:hint="eastAsia" w:ascii="仿宋_GB2312" w:hAnsi="仿宋_GB2312" w:eastAsia="仿宋_GB2312" w:cs="仿宋_GB2312"/>
          <w:sz w:val="32"/>
          <w:szCs w:val="32"/>
          <w:u w:val="single"/>
          <w:lang w:val="en-US" w:eastAsia="zh-CN"/>
        </w:rPr>
        <w:t>；</w:t>
      </w:r>
      <w:r>
        <w:rPr>
          <w:rFonts w:hint="eastAsia" w:ascii="仿宋_GB2312" w:hAnsi="仿宋_GB2312" w:eastAsia="仿宋_GB2312" w:cs="仿宋_GB2312"/>
          <w:sz w:val="32"/>
          <w:szCs w:val="32"/>
          <w:lang w:val="en-US" w:eastAsia="zh-CN"/>
        </w:rPr>
        <w:t>该行为</w:t>
      </w:r>
      <w:r>
        <w:rPr>
          <w:rFonts w:hint="eastAsia" w:ascii="仿宋_GB2312" w:hAnsi="仿宋_GB2312" w:eastAsia="仿宋_GB2312" w:cs="仿宋_GB2312"/>
          <w:b/>
          <w:bCs/>
          <w:sz w:val="32"/>
          <w:szCs w:val="32"/>
          <w:lang w:val="en-US" w:eastAsia="zh-CN"/>
        </w:rPr>
        <w:t>已</w:t>
      </w:r>
      <w:r>
        <w:rPr>
          <w:rFonts w:hint="eastAsia" w:ascii="仿宋_GB2312" w:hAnsi="仿宋_GB2312" w:eastAsia="仿宋_GB2312" w:cs="仿宋_GB2312"/>
          <w:b/>
          <w:bCs/>
          <w:sz w:val="32"/>
          <w:szCs w:val="32"/>
        </w:rPr>
        <w:t>涉嫌违反了</w:t>
      </w:r>
      <w:r>
        <w:rPr>
          <w:rFonts w:hint="eastAsia" w:ascii="仿宋_GB2312" w:hAnsi="仿宋_GB2312" w:eastAsia="仿宋_GB2312" w:cs="仿宋_GB2312"/>
          <w:sz w:val="32"/>
          <w:szCs w:val="32"/>
        </w:rPr>
        <w:t>《中华人民共和国</w:t>
      </w:r>
      <w:r>
        <w:rPr>
          <w:rFonts w:hint="eastAsia" w:ascii="仿宋_GB2312" w:hAnsi="仿宋_GB2312" w:eastAsia="仿宋_GB2312" w:cs="仿宋_GB2312"/>
          <w:sz w:val="32"/>
          <w:szCs w:val="32"/>
          <w:lang w:val="en-US" w:eastAsia="zh-CN"/>
        </w:rPr>
        <w:t>市场主体登记管理条例</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rPr>
        <w:sym w:font="Wingdings" w:char="00A8"/>
      </w:r>
      <w:r>
        <w:rPr>
          <w:rFonts w:hint="eastAsia" w:ascii="仿宋_GB2312" w:hAnsi="仿宋_GB2312" w:eastAsia="仿宋_GB2312" w:cs="仿宋_GB2312"/>
          <w:sz w:val="32"/>
          <w:szCs w:val="32"/>
        </w:rPr>
        <w:t>第三条</w:t>
      </w:r>
      <w:r>
        <w:rPr>
          <w:rFonts w:hint="eastAsia" w:ascii="仿宋_GB2312" w:hAnsi="仿宋_GB2312" w:eastAsia="仿宋_GB2312" w:cs="仿宋_GB2312"/>
          <w:sz w:val="32"/>
          <w:szCs w:val="32"/>
          <w:lang w:val="en-US" w:eastAsia="zh-CN"/>
        </w:rPr>
        <w:t>第一款“</w:t>
      </w:r>
      <w:r>
        <w:rPr>
          <w:rFonts w:hint="eastAsia" w:ascii="仿宋_GB2312" w:hAnsi="仿宋_GB2312" w:eastAsia="仿宋_GB2312" w:cs="仿宋_GB2312"/>
          <w:sz w:val="32"/>
          <w:szCs w:val="32"/>
        </w:rPr>
        <w:t>市场主体应当依照本条例办理登记。未经登记，不得以市场主体名义从事经营活动</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sym w:font="Wingdings" w:char="00A8"/>
      </w:r>
      <w:r>
        <w:rPr>
          <w:rFonts w:hint="eastAsia" w:ascii="仿宋_GB2312" w:hAnsi="仿宋_GB2312" w:eastAsia="仿宋_GB2312" w:cs="仿宋_GB2312"/>
          <w:sz w:val="32"/>
          <w:szCs w:val="32"/>
        </w:rPr>
        <w:t>第二十四条</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市场主体变更登记事项，应当自作出变更决议、决定或者法定变更事项发生之日起30日内向登记机关申请变更登记</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sym w:font="Wingdings" w:char="00A8"/>
      </w:r>
      <w:r>
        <w:rPr>
          <w:rFonts w:hint="eastAsia" w:ascii="仿宋_GB2312" w:hAnsi="仿宋_GB2312" w:eastAsia="仿宋_GB2312" w:cs="仿宋_GB2312"/>
          <w:sz w:val="32"/>
          <w:szCs w:val="32"/>
          <w:lang w:eastAsia="zh-CN"/>
        </w:rPr>
        <w:t>《未成年人文身治理工作办法》第四条“任何企业、组织和个人不得向未成年人提供文身服务，不得胁迫、引诱、教唆未成年人文身”</w:t>
      </w:r>
      <w:r>
        <w:rPr>
          <w:rFonts w:hint="eastAsia" w:ascii="仿宋_GB2312" w:hAnsi="仿宋_GB2312" w:eastAsia="仿宋_GB2312" w:cs="仿宋_GB2312"/>
          <w:sz w:val="32"/>
          <w:szCs w:val="32"/>
          <w:lang w:val="en-US" w:eastAsia="zh-CN"/>
        </w:rPr>
        <w:t>的规定，</w:t>
      </w:r>
      <w:r>
        <w:rPr>
          <w:rFonts w:hint="eastAsia" w:ascii="仿宋_GB2312" w:hAnsi="仿宋_GB2312" w:eastAsia="仿宋_GB2312" w:cs="仿宋_GB2312"/>
          <w:b/>
          <w:bCs/>
          <w:sz w:val="32"/>
          <w:szCs w:val="32"/>
          <w:lang w:val="en-US" w:eastAsia="zh-CN"/>
        </w:rPr>
        <w:t>依据</w:t>
      </w:r>
      <w:r>
        <w:rPr>
          <w:rFonts w:hint="eastAsia" w:ascii="仿宋_GB2312" w:hAnsi="仿宋_GB2312" w:eastAsia="仿宋_GB2312" w:cs="仿宋_GB2312"/>
          <w:sz w:val="32"/>
          <w:szCs w:val="32"/>
          <w:lang w:val="en-US" w:eastAsia="zh-CN"/>
        </w:rPr>
        <w:t>条例</w:t>
      </w:r>
      <w:r>
        <w:rPr>
          <w:rFonts w:hint="eastAsia" w:ascii="仿宋_GB2312" w:hAnsi="仿宋_GB2312" w:eastAsia="仿宋_GB2312" w:cs="仿宋_GB2312"/>
          <w:sz w:val="32"/>
          <w:szCs w:val="32"/>
          <w:lang w:val="en-US" w:eastAsia="zh-CN"/>
        </w:rPr>
        <w:sym w:font="Wingdings" w:char="00A8"/>
      </w:r>
      <w:r>
        <w:rPr>
          <w:rFonts w:hint="eastAsia" w:ascii="仿宋_GB2312" w:hAnsi="仿宋_GB2312" w:eastAsia="仿宋_GB2312" w:cs="仿宋_GB2312"/>
          <w:sz w:val="32"/>
          <w:szCs w:val="32"/>
          <w:lang w:val="en-US" w:eastAsia="zh-CN"/>
        </w:rPr>
        <w:t>第四十三条“未经设立登记从事经营活动的，由登记机关责令改正，没收违法所得；拒不改正的，处1万元以上10万元以下的罚款；情节严重的，依法责令关闭停业，并处10万元以上50万元以下的罚款”</w:t>
      </w:r>
      <w:r>
        <w:rPr>
          <w:rFonts w:hint="eastAsia" w:ascii="仿宋_GB2312" w:hAnsi="仿宋_GB2312" w:eastAsia="仿宋_GB2312" w:cs="仿宋_GB2312"/>
          <w:sz w:val="32"/>
          <w:szCs w:val="32"/>
          <w:lang w:val="en-US" w:eastAsia="zh-CN"/>
        </w:rPr>
        <w:sym w:font="Wingdings" w:char="00A8"/>
      </w:r>
      <w:r>
        <w:rPr>
          <w:rFonts w:hint="eastAsia" w:ascii="仿宋_GB2312" w:hAnsi="仿宋_GB2312" w:eastAsia="仿宋_GB2312" w:cs="仿宋_GB2312"/>
          <w:sz w:val="32"/>
          <w:szCs w:val="32"/>
          <w:lang w:val="en-US" w:eastAsia="zh-CN"/>
        </w:rPr>
        <w:t>第四十六条“市场主体未依照本条例办理变更登记的，由登记机关责令改正；拒不改正的，处1万元以上10万元以下的罚款；情节严重的，吊销营业执照”</w:t>
      </w:r>
      <w:r>
        <w:rPr>
          <w:rFonts w:hint="eastAsia" w:ascii="仿宋_GB2312" w:hAnsi="仿宋_GB2312" w:eastAsia="仿宋_GB2312" w:cs="仿宋_GB2312"/>
          <w:sz w:val="32"/>
          <w:szCs w:val="32"/>
          <w:lang w:val="en-US" w:eastAsia="zh-CN"/>
        </w:rPr>
        <w:sym w:font="Wingdings" w:char="00A8"/>
      </w:r>
      <w:r>
        <w:rPr>
          <w:rFonts w:hint="eastAsia" w:ascii="仿宋_GB2312" w:hAnsi="仿宋_GB2312" w:eastAsia="仿宋_GB2312" w:cs="仿宋_GB2312"/>
          <w:sz w:val="32"/>
          <w:szCs w:val="32"/>
          <w:lang w:val="en-US" w:eastAsia="zh-CN"/>
        </w:rPr>
        <w:t>办法第十一条“……其他市场主体未依法取得营业执照向未成年人提供文身服务的，依照《无证无照经营查处办法》等规定进行查处……”</w:t>
      </w:r>
      <w:r>
        <w:rPr>
          <w:rFonts w:hint="eastAsia" w:ascii="仿宋_GB2312" w:hAnsi="仿宋_GB2312" w:eastAsia="仿宋_GB2312" w:cs="仿宋_GB2312"/>
          <w:sz w:val="32"/>
          <w:szCs w:val="32"/>
          <w:lang w:val="en-US" w:eastAsia="zh-CN"/>
        </w:rPr>
        <w:sym w:font="Wingdings" w:char="00A8"/>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u w:val="none"/>
          <w:lang w:val="en-US" w:eastAsia="zh-CN"/>
        </w:rPr>
        <w:t>的</w:t>
      </w:r>
      <w:r>
        <w:rPr>
          <w:rFonts w:hint="eastAsia" w:ascii="仿宋_GB2312" w:hAnsi="仿宋_GB2312" w:eastAsia="仿宋_GB2312" w:cs="仿宋_GB2312"/>
          <w:sz w:val="32"/>
          <w:szCs w:val="32"/>
          <w:lang w:val="en-US" w:eastAsia="zh-CN"/>
        </w:rPr>
        <w:t>规定，</w:t>
      </w:r>
      <w:r>
        <w:rPr>
          <w:rFonts w:hint="eastAsia" w:ascii="仿宋_GB2312" w:hAnsi="仿宋_GB2312" w:eastAsia="仿宋_GB2312" w:cs="仿宋_GB2312"/>
          <w:sz w:val="32"/>
          <w:szCs w:val="32"/>
        </w:rPr>
        <w:t>现责令你（单位）</w:t>
      </w:r>
      <w:r>
        <w:rPr>
          <w:rFonts w:hint="eastAsia" w:ascii="仿宋_GB2312" w:hAnsi="仿宋_GB2312" w:eastAsia="仿宋_GB2312" w:cs="仿宋_GB2312"/>
          <w:sz w:val="32"/>
          <w:szCs w:val="32"/>
        </w:rPr>
        <w:sym w:font="Wingdings" w:char="00A8"/>
      </w:r>
      <w:r>
        <w:rPr>
          <w:rFonts w:hint="eastAsia" w:ascii="仿宋_GB2312" w:hAnsi="仿宋_GB2312" w:eastAsia="仿宋_GB2312" w:cs="仿宋_GB2312"/>
          <w:sz w:val="32"/>
          <w:szCs w:val="32"/>
        </w:rPr>
        <w:t>立即停止</w:t>
      </w:r>
      <w:r>
        <w:rPr>
          <w:rFonts w:hint="eastAsia" w:ascii="仿宋_GB2312" w:hAnsi="仿宋_GB2312" w:eastAsia="仿宋_GB2312" w:cs="仿宋_GB2312"/>
          <w:sz w:val="32"/>
          <w:szCs w:val="32"/>
          <w:lang w:val="en-US" w:eastAsia="zh-CN"/>
        </w:rPr>
        <w:t>相关</w:t>
      </w:r>
      <w:r>
        <w:rPr>
          <w:rFonts w:hint="eastAsia" w:ascii="仿宋_GB2312" w:hAnsi="仿宋_GB2312" w:eastAsia="仿宋_GB2312" w:cs="仿宋_GB2312"/>
          <w:sz w:val="32"/>
          <w:szCs w:val="32"/>
        </w:rPr>
        <w:t>违法行为</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sym w:font="Wingdings" w:char="00A8"/>
      </w:r>
      <w:r>
        <w:rPr>
          <w:rFonts w:hint="eastAsia" w:ascii="仿宋_GB2312" w:hAnsi="仿宋_GB2312" w:eastAsia="仿宋_GB2312" w:cs="仿宋_GB2312"/>
          <w:sz w:val="32"/>
          <w:szCs w:val="32"/>
          <w:lang w:val="en-US" w:eastAsia="zh-CN"/>
        </w:rPr>
        <w:t>限期</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u w:val="none"/>
          <w:lang w:val="en-US" w:eastAsia="zh-CN"/>
        </w:rPr>
        <w:t>天内办理市场主体</w:t>
      </w:r>
      <w:bookmarkStart w:id="0" w:name="_GoBack"/>
      <w:bookmarkEnd w:id="0"/>
      <w:r>
        <w:rPr>
          <w:rFonts w:hint="eastAsia" w:ascii="仿宋_GB2312" w:hAnsi="仿宋_GB2312" w:eastAsia="仿宋_GB2312" w:cs="仿宋_GB2312"/>
          <w:sz w:val="32"/>
          <w:szCs w:val="32"/>
          <w:u w:val="none"/>
          <w:lang w:val="en-US" w:eastAsia="zh-CN"/>
        </w:rPr>
        <w:t>登记，改正违法行为。并积极协助</w:t>
      </w:r>
      <w:r>
        <w:rPr>
          <w:rFonts w:hint="eastAsia" w:ascii="仿宋_GB2312" w:hAnsi="仿宋_GB2312" w:eastAsia="仿宋_GB2312" w:cs="仿宋_GB2312"/>
          <w:sz w:val="32"/>
          <w:szCs w:val="32"/>
          <w:lang w:val="en-US" w:eastAsia="zh-CN"/>
        </w:rPr>
        <w:t>我局依法开展案件调查处理等工作。</w:t>
      </w:r>
    </w:p>
    <w:p>
      <w:pPr>
        <w:keepNext w:val="0"/>
        <w:keepLines w:val="0"/>
        <w:pageBreakBefore w:val="0"/>
        <w:widowControl w:val="0"/>
        <w:kinsoku/>
        <w:wordWrap w:val="0"/>
        <w:overflowPunct/>
        <w:topLinePunct/>
        <w:autoSpaceDE/>
        <w:autoSpaceDN/>
        <w:bidi w:val="0"/>
        <w:adjustRightInd/>
        <w:snapToGrid/>
        <w:spacing w:line="560" w:lineRule="exact"/>
        <w:ind w:firstLine="632"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如对本责令改正决定不服，可以自收到本通知书之日起六十日内向平潭综合实验区管理委员会申请行政复议，也可在六个月内向平潭县人民法院提起行政诉讼。依照《中华人民共和国行政复议法》第二十一条、《中华人民共和国行政诉讼法》第四十四条之规定，复议或诉讼期间不停止本责令改正决定的执行。</w:t>
      </w:r>
    </w:p>
    <w:p>
      <w:pPr>
        <w:keepNext w:val="0"/>
        <w:keepLines w:val="0"/>
        <w:pageBreakBefore w:val="0"/>
        <w:widowControl w:val="0"/>
        <w:kinsoku/>
        <w:wordWrap w:val="0"/>
        <w:overflowPunct/>
        <w:topLinePunct/>
        <w:autoSpaceDE/>
        <w:autoSpaceDN/>
        <w:bidi w:val="0"/>
        <w:adjustRightInd/>
        <w:snapToGrid/>
        <w:spacing w:line="56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val="0"/>
        <w:overflowPunct/>
        <w:topLinePunct/>
        <w:autoSpaceDE/>
        <w:autoSpaceDN/>
        <w:bidi w:val="0"/>
        <w:adjustRightInd/>
        <w:snapToGrid/>
        <w:spacing w:line="560" w:lineRule="exact"/>
        <w:ind w:firstLine="632"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联系人：                联系电话：                 </w:t>
      </w:r>
    </w:p>
    <w:p>
      <w:pPr>
        <w:keepNext w:val="0"/>
        <w:keepLines w:val="0"/>
        <w:pageBreakBefore w:val="0"/>
        <w:widowControl w:val="0"/>
        <w:kinsoku/>
        <w:wordWrap w:val="0"/>
        <w:overflowPunct/>
        <w:topLinePunct/>
        <w:autoSpaceDE/>
        <w:autoSpaceDN/>
        <w:bidi w:val="0"/>
        <w:adjustRightInd/>
        <w:snapToGrid/>
        <w:spacing w:line="560" w:lineRule="exact"/>
        <w:ind w:firstLine="632"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联系地址：                                        </w:t>
      </w:r>
    </w:p>
    <w:p>
      <w:pPr>
        <w:keepNext w:val="0"/>
        <w:keepLines w:val="0"/>
        <w:pageBreakBefore w:val="0"/>
        <w:widowControl w:val="0"/>
        <w:kinsoku/>
        <w:wordWrap w:val="0"/>
        <w:overflowPunct/>
        <w:topLinePunct/>
        <w:autoSpaceDE/>
        <w:autoSpaceDN/>
        <w:bidi w:val="0"/>
        <w:adjustRightInd/>
        <w:snapToGrid/>
        <w:spacing w:line="56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val="0"/>
        <w:overflowPunct/>
        <w:topLinePunct/>
        <w:autoSpaceDE/>
        <w:autoSpaceDN/>
        <w:bidi w:val="0"/>
        <w:adjustRightInd/>
        <w:snapToGrid/>
        <w:spacing w:line="56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ab/>
      </w:r>
      <w:r>
        <w:rPr>
          <w:rFonts w:hint="eastAsia" w:ascii="仿宋_GB2312" w:hAnsi="仿宋_GB2312" w:eastAsia="仿宋_GB2312" w:cs="仿宋_GB2312"/>
          <w:sz w:val="32"/>
          <w:szCs w:val="32"/>
          <w:lang w:val="en-US" w:eastAsia="zh-CN"/>
        </w:rPr>
        <w:t xml:space="preserve">                     平潭综合实验区市场监督管理局</w:t>
      </w:r>
    </w:p>
    <w:p>
      <w:pPr>
        <w:keepNext w:val="0"/>
        <w:keepLines w:val="0"/>
        <w:pageBreakBefore w:val="0"/>
        <w:widowControl w:val="0"/>
        <w:kinsoku/>
        <w:wordWrap w:val="0"/>
        <w:overflowPunct/>
        <w:topLinePunct/>
        <w:autoSpaceDE/>
        <w:autoSpaceDN/>
        <w:bidi w:val="0"/>
        <w:adjustRightInd/>
        <w:snapToGrid/>
        <w:spacing w:line="56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2025年   月   日</w:t>
      </w:r>
    </w:p>
    <w:sectPr>
      <w:pgSz w:w="11906" w:h="16838"/>
      <w:pgMar w:top="1984" w:right="1361" w:bottom="1871" w:left="1474" w:header="851" w:footer="992" w:gutter="0"/>
      <w:cols w:space="0" w:num="1"/>
      <w:rtlGutter w:val="0"/>
      <w:docGrid w:type="linesAndChars" w:linePitch="490" w:charSpace="-8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auto"/>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true"/>
  <w:bordersDoNotSurroundFooter w:val="true"/>
  <w:documentProtection w:enforcement="0"/>
  <w:defaultTabStop w:val="420"/>
  <w:drawingGridHorizontalSpacing w:val="151"/>
  <w:drawingGridVerticalSpacing w:val="250"/>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5A409B"/>
    <w:rsid w:val="28012FCC"/>
    <w:rsid w:val="296B7BA9"/>
    <w:rsid w:val="374433CB"/>
    <w:rsid w:val="425A409B"/>
    <w:rsid w:val="57B3C3F8"/>
    <w:rsid w:val="E3FB1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3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2025-06-24T17:47:00Z</dcterms:created>
  <dc:creator>墨守成规1388909485</dc:creator>
  <cp:lastModifiedBy>pingtan</cp:lastModifiedBy>
  <dcterms:modified xsi:type="dcterms:W3CDTF">2025-06-30T14:27:43Z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