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1、数量及地点：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阶梯教室1、2面积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面积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13.82平方米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各1片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综合楼7、8层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面积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4.6平米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各1片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4台计算机及多媒体讲台；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2、参数：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Q2.5 Pro室内全彩 LED显示屏 随机附件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合格证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产品类型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室内小间距LED显示屏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产品规格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Q2.5 Pro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像素结构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SMD1515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像素间距（mm）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2.5mm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模组分辨率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（W*H） 128*64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模组尺寸（mm*mm）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320mm(W)*160mm(H)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模组重量（kg）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0.46kg±0.01kg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模组最大功耗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（W） ≤24W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箱体模组组成（W*H）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2*3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箱体分辨率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（W*H） 256*192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箱体尺寸（mm）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640mm(W)*480mm(H)*85mm(D)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箱体面积（㎡）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0.307㎡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箱体重量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（kg） 7.61kg±0.05 kg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箱体像素密度（点/㎡）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160000Dots/㎡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箱体平整度（mm）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≤1mm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箱体拼接缝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≤1mm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维护方式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前后均能维护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箱体形成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铝合金 单点亮度校正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支持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单点色度校正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支持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白平衡亮度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≥600cd/㎡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扫描驱动方式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1/32扫描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恒流驱动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色温（K）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3000K-18000K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可调可视角度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水平140±10度，垂直130±10°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可视距离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≥2.5m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;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发光点中心距偏差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3%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亮度/色度均匀性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＞0.95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对比度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≥5500:1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峰值功率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≤457W/㎡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平均功率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≤47W/箱体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供电要求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AC220V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频率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47-63（Hz）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安全特性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GB4943/EN60950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换帧频率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≥60帧/秒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驱动方式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恒流驱动，32扫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灰度等级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红、绿、蓝各14-16bits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刷新频率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≥3840Hz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颜色处理位数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43980亿种 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模组自带掉电存储功能 保存亮度、色度校正数据，模组参数 视频播放能力 2K高清，4K超高清画面 寿命典型值 100000H 工作温/湿度范围（℃/RH） -20-40℃/10％-65％RH(无结露) 存储温/湿度范围（℃/RH） -20℃ ～40℃/ 10%-65%RH（无结露) CCC认证编号 2019010903173044 安装要求 室内干燥环境 资源节约产品认证类型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节能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节能产品认证机构名称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中国质量认证中心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>节能产品认证证书编号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CQC19701224839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</w:rPr>
        <w:t xml:space="preserve"> </w:t>
      </w:r>
    </w:p>
    <w:p>
      <w:pPr>
        <w:pStyle w:val="2"/>
        <w:spacing w:line="360" w:lineRule="auto"/>
        <w:ind w:firstLine="562" w:firstLineChars="200"/>
        <w:rPr>
          <w:rFonts w:hint="eastAsia" w:ascii="宋体" w:hAnsi="宋体" w:eastAsia="宋体" w:cs="宋体"/>
          <w:i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方案内容需体现完整准确的项目实施方案，</w:t>
      </w:r>
      <w:r>
        <w:rPr>
          <w:rFonts w:hint="eastAsia" w:ascii="宋体" w:hAnsi="宋体" w:eastAsia="宋体" w:cs="宋体"/>
          <w:kern w:val="2"/>
          <w:szCs w:val="28"/>
        </w:rPr>
        <w:t>包括品牌、详细技术参数、数量、预算单价及总价</w:t>
      </w:r>
      <w:r>
        <w:rPr>
          <w:rFonts w:hint="eastAsia" w:ascii="宋体" w:hAnsi="宋体" w:eastAsia="宋体" w:cs="宋体"/>
          <w:kern w:val="2"/>
          <w:szCs w:val="28"/>
          <w:lang w:eastAsia="zh-CN"/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方案优势说明等。</w:t>
      </w:r>
    </w:p>
    <w:p>
      <w:pPr>
        <w:pStyle w:val="2"/>
        <w:spacing w:line="360" w:lineRule="auto"/>
        <w:ind w:firstLine="560" w:firstLineChars="200"/>
        <w:rPr>
          <w:rFonts w:hint="eastAsia" w:ascii="Calibri" w:hAnsi="Calibri" w:eastAsia="宋体"/>
          <w:kern w:val="2"/>
          <w:szCs w:val="28"/>
        </w:rPr>
      </w:pPr>
      <w:r>
        <w:rPr>
          <w:rFonts w:hint="eastAsia" w:ascii="仿宋" w:hAnsi="仿宋" w:eastAsia="仿宋" w:cs="仿宋"/>
          <w:kern w:val="2"/>
          <w:szCs w:val="28"/>
        </w:rPr>
        <w:t>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E03AA"/>
    <w:rsid w:val="1C9E03B0"/>
    <w:rsid w:val="35715AB0"/>
    <w:rsid w:val="37117F1A"/>
    <w:rsid w:val="419663F4"/>
    <w:rsid w:val="6DA6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rPr>
      <w:rFonts w:ascii="楷体_GB2312" w:hAnsi="Arial" w:eastAsia="楷体_GB2312"/>
      <w:kern w:val="0"/>
      <w:sz w:val="28"/>
      <w:szCs w:val="20"/>
    </w:rPr>
  </w:style>
  <w:style w:type="paragraph" w:styleId="3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2022-03-23T15:33:00Z</dcterms:created>
  <dc:creator>Administrator</dc:creator>
  <cp:lastModifiedBy>Administrator</cp:lastModifiedBy>
  <dcterms:modified xsi:type="dcterms:W3CDTF">2022-04-18T08:28:46Z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