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eastAsia="zh-CN"/>
        </w:rPr>
      </w:pPr>
      <w:r>
        <w:rPr>
          <w:rFonts w:hint="eastAsia"/>
          <w:b/>
          <w:bCs/>
          <w:sz w:val="32"/>
          <w:szCs w:val="32"/>
          <w:lang w:eastAsia="zh-CN"/>
        </w:rPr>
        <w:t>平潭综合实验区医院供应室耗材进口产品清单</w:t>
      </w:r>
      <w:bookmarkStart w:id="0" w:name="_GoBack"/>
      <w:bookmarkEnd w:id="0"/>
    </w:p>
    <w:p>
      <w:pPr>
        <w:rPr>
          <w:rFonts w:hint="eastAsia"/>
          <w:lang w:eastAsia="zh-CN"/>
        </w:rPr>
      </w:pPr>
    </w:p>
    <w:tbl>
      <w:tblPr>
        <w:tblStyle w:val="2"/>
        <w:tblW w:w="107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3"/>
        <w:gridCol w:w="1096"/>
        <w:gridCol w:w="690"/>
        <w:gridCol w:w="823"/>
        <w:gridCol w:w="995"/>
        <w:gridCol w:w="1151"/>
        <w:gridCol w:w="1536"/>
        <w:gridCol w:w="36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tblHeader/>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品名</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单位</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规格</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采购预估量</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预算金额（元）</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使用机器品牌型号</w:t>
            </w:r>
          </w:p>
        </w:tc>
        <w:tc>
          <w:tcPr>
            <w:tcW w:w="2595" w:type="dxa"/>
            <w:shd w:val="clear" w:color="auto" w:fill="FFFFFF"/>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B-D试验包</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w:t>
            </w:r>
          </w:p>
        </w:tc>
        <w:tc>
          <w:tcPr>
            <w:tcW w:w="1080" w:type="dxa"/>
            <w:shd w:val="clear" w:color="auto" w:fill="FFFFFF"/>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1278</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53676</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一、适用于预真空压力蒸汽灭菌器空气排除效果的检测，可用于日常灭菌中空气排除效果监测。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二、执行标准：GB18282.5-2015/ISO 11140-5:2007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高压灭菌化学指示胶带</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卷</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55米/卷</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1100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67925</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一、用于压力蒸汽灭菌的包外化学监测，显示包裹是否已灭菌过。可使用于棉织物、无纺布、纸等多种包装材料。直接粘贴于包外，可直接观察变色情况，判断物品包是否通过灭菌处理。</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二、执行标准：GB18282.1-2015//ISO11140-1:2005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高压灭菌包内化学指示卡</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盒</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250片/盒</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53437.5</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一、作为包裹内灭菌效果的化学监测。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二、执行标准：GB18282.1-2015//ISO11140-1:2005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高压灭菌包内化学指示爬行卡</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20000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22800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该指示卡由纸芯和对蒸汽及温度敏感的位于纸/塑和纸/塑/金属压片中的化学球组成。化学球溶解后变为黑色并沿纸芯移动，并可通过卡片上的ACCEPT（成功）和REJECT(失败）窗口观察到。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高压灭菌化学挑战包</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3000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164160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适用于压力蒸汽灭菌器的负荷放行和灭菌质量批量监测，内含3m第五类化学指示卡。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                                            高压灭菌管腔监测化学指示卡</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19800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洁定HS6617高温蒸汽灭菌器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适用管腔器械批量监测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环氧乙烷灭菌包内化学指示卡</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盒</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480片/盒</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17100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一、作为环氧乙烷灭菌包裹内灭菌效果的化学监测。</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二、执行标准：GB18281.1-2015//ISO11140-1:2005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环氧乙烷灭菌生物监测指示剂</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18200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一、检测环氧乙烷灭菌结果，配备现有生物阅读器</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二、执行标准：GB18281.1-2015/ISO 11138-1:2006,GB18281.2-2015/ISO 11138-2:2006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环氧乙烷管腔监测化学指示卡</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260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15860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山东新华XG2.C环氧乙烷灭菌器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适用环氧乙烷管腔器械批量监测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过氧化氢灭菌化学指示胶带</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卷</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70米/卷</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8260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接触过氧化氢后由紫红色变为浅黄色或更浅，STERRAD系列灭菌器专用化学指示指示胶带。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过氧化氢灭菌包内化学指示卡</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盒</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250片/盒</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4687.5</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接触过氧化氢后，由紫红色变为浅黄色或更浅，含比色块的化学指示卡，STERRAD系列灭菌器专用化学指示卡。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过氧化氢灭菌卡夹</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45000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专用于STERRAD系列灭菌器，2片/箱，10粒/片，过氧化氢有效浓度为58%，容量为5.4ml/粒。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过氧化氢灭菌生物监测指示剂</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500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75000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强生STERRAD100NX过氧化氢灭菌器</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30分钟生物指示剂，30分钟出生物监测结果，适用于STERRAD系列生物阅读器，自带指示标签并接触过氧化氢后由紫红色变为浅黄色或更浅。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弱碱性清洗液（手工、机洗）</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5L/桶</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45</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69678</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STERIS CORPORATION R清洗机、手工清洗</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一、具有灭活朊毒体功能；</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二、具有去除生物膜的功能；</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三、可生物降解，不含氨三乙酸（NTA）；</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四、无泡沫，适用于机械清洗；</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五、碱性清洗剂中不含酶；</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六、无色无味；</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七、防止硅酸盐沉积。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多酶清洗剂</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2L/桶</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65</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35035</w:t>
            </w:r>
          </w:p>
        </w:tc>
        <w:tc>
          <w:tcPr>
            <w:tcW w:w="1080" w:type="dxa"/>
            <w:vMerge w:val="restart"/>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STERIS CORPORATION R清洗机、洁定S-8666清洗机、手工清洗</w:t>
            </w:r>
          </w:p>
        </w:tc>
        <w:tc>
          <w:tcPr>
            <w:tcW w:w="2595" w:type="dxa"/>
            <w:vMerge w:val="restart"/>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一、要求含有蛋白酶、脂肪酶、糖酶、淀粉酶、生化酶、协同酶、专 利酶（高级蛋白水解酶）等7种酶；</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二、可以有效地清除人体的脂肪、血液、黏液、等有机污染物，可有效预防生物膜形成；</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三、要求含有RINSE成份，清洗后无残留，可避免有机物回粘的二次污染；</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四、无泡，非研磨，易冲洗，100%可生物降解，绿色环保。机洗手洗均适用；</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五、pH值中性，无腐蚀性，安全适用于所有复用医疗器械，不会损伤任何金属、塑料、橡胶制品；</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六、具有抑菌与防锈效能。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多酶清洗剂</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5L/桶</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61544</w:t>
            </w:r>
          </w:p>
        </w:tc>
        <w:tc>
          <w:tcPr>
            <w:tcW w:w="1080" w:type="dxa"/>
            <w:vMerge w:val="continue"/>
            <w:shd w:val="clear" w:color="auto" w:fill="FFFFFF"/>
            <w:vAlign w:val="center"/>
          </w:tcPr>
          <w:p>
            <w:pPr>
              <w:jc w:val="left"/>
              <w:rPr>
                <w:rFonts w:hint="eastAsia" w:ascii="宋体" w:hAnsi="宋体" w:eastAsia="宋体" w:cs="宋体"/>
                <w:i w:val="0"/>
                <w:iCs w:val="0"/>
                <w:color w:val="000000"/>
                <w:sz w:val="22"/>
                <w:szCs w:val="22"/>
                <w:u w:val="none"/>
              </w:rPr>
            </w:pPr>
          </w:p>
        </w:tc>
        <w:tc>
          <w:tcPr>
            <w:tcW w:w="2595" w:type="dxa"/>
            <w:vMerge w:val="continue"/>
            <w:shd w:val="clear" w:color="auto" w:fill="FFFFFF"/>
            <w:vAlign w:val="center"/>
          </w:tcPr>
          <w:p>
            <w:pPr>
              <w:jc w:val="left"/>
              <w:rPr>
                <w:rFonts w:hint="eastAsia" w:ascii="宋体" w:hAnsi="宋体" w:eastAsia="宋体" w:cs="宋体"/>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器械润滑剂</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4L/桶</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117600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STERIS CORPORATION R清洗机、洁定S-8666清洗机、手工清洗</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一、要求产品是一种无粘性、无毒、不含硅的水溶性润滑剂，不影响灭菌过程中灭菌因子的穿透（要有权威机构的认证）；</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二、可生物降解，对环境无污染。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减压沸腾机清洗剂</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10L/桶</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93000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三浦RQ-50KS</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一、要求含有多种活性蛋白酶，要求蛋白酶活度不小于1.32AU/ml；提供检测报告</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二、可以有效地清除人体的脂肪、血液、黏液、等有机污染物，可有效预防生物膜形成；对人工模拟污染物平均去除率大于98.5%。提供检测报告</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三、清洗后无残留，对管腔等结构复杂器械的污物去除能力强。</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四、低泡，非研磨，易冲洗，100%可生物降解，绿色环保。机洗手洗均适用；</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五、pH值中性，无腐蚀性，安全适用于所有复用医疗器械，不会损伤任何金属、塑料、橡胶制品；要求提供PH值检测报告，对不同金属的腐蚀性报告。</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六、具有抑菌与防锈效能，有生物膜有效去除报告，细菌去除率、蛋白质去除率、ATP下降率检测报告。提供检测报告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19</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酸性专用清洗剂（钝化液）</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桶</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5L/桶</w:t>
            </w: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25</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38710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STERIS CORPORATION R清洗机、洁定S-8666清洗机、山东新华超声机QX2000-S</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1、器械除锈、除垢，且保持6个月不返；</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2、可作器械钝化处理，有效去除硅覆盖，使器械光亮如新；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3、新器械作钝化处理，延长器械使用寿命；4、可去除石膏残留；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5、适用于半自动化清洗，自动清洗机清洗；6、可生物降解，对环境无污染；</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7、达到CE认证标准。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超声能量测试瓶</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支</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3410.4</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STERIS CORPORATION R清洗机、山东新华超声机QX2000-S</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用于各类超声机超声能量测试。</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1.能量瓶为透明玻璃材质，易于观察。</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2.能量瓶变色明显，超声能量测试合格时候，内置溶液原来的绿色变为橙色或者黄色。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21</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清洗效果监测指示物</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240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10113.6</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全自动清洗消毒机、减压沸腾清洗机</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一、用于清洗过程的效果监测及清洗机的验证，可监测管腔器械及实体器械的清洗效果；</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二、使用合成的化学物质作为污物而不是天然的人造污物（例如血液），避免病原性载体污染；</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三、指示物夹及PCD由高度耐磨损材料制成，可长期使用无需特殊维护；</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四、化学物质的性能稳定，不会像其他的以人造污物为基础的指示物那样随着储存时间的延长而发生性能的变化。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3" w:hRule="atLeast"/>
          <w:jc w:val="center"/>
        </w:trPr>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22</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热力消毒性能测试卡(AO3000)</w:t>
            </w:r>
          </w:p>
        </w:tc>
        <w:tc>
          <w:tcPr>
            <w:tcW w:w="108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片</w:t>
            </w:r>
          </w:p>
        </w:tc>
        <w:tc>
          <w:tcPr>
            <w:tcW w:w="0" w:type="auto"/>
            <w:shd w:val="clear" w:color="auto" w:fill="FFFFFF"/>
            <w:noWrap/>
            <w:vAlign w:val="center"/>
          </w:tcPr>
          <w:p>
            <w:pPr>
              <w:jc w:val="center"/>
              <w:rPr>
                <w:rFonts w:hint="eastAsia" w:ascii="宋体" w:hAnsi="宋体" w:eastAsia="宋体" w:cs="宋体"/>
                <w:i w:val="0"/>
                <w:iCs w:val="0"/>
                <w:color w:val="000000"/>
                <w:sz w:val="22"/>
                <w:szCs w:val="22"/>
                <w:u w:val="none"/>
              </w:rPr>
            </w:pPr>
          </w:p>
        </w:tc>
        <w:tc>
          <w:tcPr>
            <w:tcW w:w="1350"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350</w:t>
            </w:r>
          </w:p>
        </w:tc>
        <w:tc>
          <w:tcPr>
            <w:tcW w:w="1395" w:type="dxa"/>
            <w:shd w:val="clear" w:color="auto" w:fill="FFFFFF"/>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14000</w:t>
            </w:r>
          </w:p>
        </w:tc>
        <w:tc>
          <w:tcPr>
            <w:tcW w:w="1080"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STERIS CORPORATION R清洗机、洁定S-8666清洗机、三浦RQ-50KS</w:t>
            </w:r>
          </w:p>
        </w:tc>
        <w:tc>
          <w:tcPr>
            <w:tcW w:w="2595" w:type="dxa"/>
            <w:shd w:val="clear" w:color="auto" w:fill="FFFFFF"/>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1、根据WS310.2-2016标准，提供AO 600和AO 3000,2款湿热消毒监测产品，满足湿热消毒后直接使用物品和湿热消毒后继续灭菌处理物品的湿热消毒监测需要；     </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eastAsia="宋体" w:cs="宋体"/>
                <w:i w:val="0"/>
                <w:iCs w:val="0"/>
                <w:color w:val="000000"/>
                <w:kern w:val="0"/>
                <w:sz w:val="22"/>
                <w:szCs w:val="22"/>
                <w:u w:val="none"/>
                <w:lang w:val="en-US" w:eastAsia="zh-CN" w:bidi="ar"/>
              </w:rPr>
              <w:t xml:space="preserve">2、可及时发现湿热消毒阶段温度过低、湿热消毒持续时间过短、喷淋水压过低等不良情况；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0" w:type="auto"/>
            <w:shd w:val="clear" w:color="auto" w:fill="auto"/>
            <w:noWrap/>
            <w:vAlign w:val="center"/>
          </w:tcPr>
          <w:p>
            <w:pPr>
              <w:jc w:val="center"/>
              <w:rPr>
                <w:rFonts w:hint="eastAsia" w:ascii="宋体" w:hAnsi="宋体" w:eastAsia="宋体" w:cs="宋体"/>
                <w:b/>
                <w:bCs/>
                <w:i w:val="0"/>
                <w:iCs w:val="0"/>
                <w:color w:val="000000"/>
                <w:sz w:val="22"/>
                <w:szCs w:val="22"/>
                <w:u w:val="none"/>
                <w:lang w:eastAsia="zh-CN"/>
              </w:rPr>
            </w:pPr>
            <w:r>
              <w:rPr>
                <w:rFonts w:hint="eastAsia" w:ascii="宋体" w:hAnsi="宋体" w:eastAsia="宋体" w:cs="宋体"/>
                <w:b/>
                <w:bCs/>
                <w:i w:val="0"/>
                <w:iCs w:val="0"/>
                <w:color w:val="000000"/>
                <w:sz w:val="22"/>
                <w:szCs w:val="22"/>
                <w:u w:val="none"/>
                <w:lang w:eastAsia="zh-CN"/>
              </w:rPr>
              <w:t>合计</w:t>
            </w:r>
          </w:p>
        </w:tc>
        <w:tc>
          <w:tcPr>
            <w:tcW w:w="0" w:type="auto"/>
            <w:shd w:val="clear" w:color="auto" w:fill="auto"/>
            <w:noWrap/>
            <w:vAlign w:val="center"/>
          </w:tcPr>
          <w:p>
            <w:pPr>
              <w:rPr>
                <w:rFonts w:hint="eastAsia" w:ascii="宋体" w:hAnsi="宋体" w:eastAsia="宋体" w:cs="宋体"/>
                <w:b/>
                <w:bCs/>
                <w:i w:val="0"/>
                <w:iCs w:val="0"/>
                <w:color w:val="000000"/>
                <w:sz w:val="22"/>
                <w:szCs w:val="22"/>
                <w:u w:val="none"/>
              </w:rPr>
            </w:pPr>
          </w:p>
        </w:tc>
        <w:tc>
          <w:tcPr>
            <w:tcW w:w="0" w:type="auto"/>
            <w:shd w:val="clear" w:color="auto" w:fill="auto"/>
            <w:noWrap/>
            <w:vAlign w:val="center"/>
          </w:tcPr>
          <w:p>
            <w:pPr>
              <w:rPr>
                <w:rFonts w:hint="eastAsia" w:ascii="宋体" w:hAnsi="宋体" w:eastAsia="宋体" w:cs="宋体"/>
                <w:b/>
                <w:bCs/>
                <w:i w:val="0"/>
                <w:iCs w:val="0"/>
                <w:color w:val="000000"/>
                <w:sz w:val="22"/>
                <w:szCs w:val="22"/>
                <w:u w:val="none"/>
              </w:rPr>
            </w:pPr>
          </w:p>
        </w:tc>
        <w:tc>
          <w:tcPr>
            <w:tcW w:w="0" w:type="auto"/>
            <w:shd w:val="clear" w:color="auto" w:fill="auto"/>
            <w:noWrap/>
            <w:vAlign w:val="center"/>
          </w:tcPr>
          <w:p>
            <w:pPr>
              <w:rPr>
                <w:rFonts w:hint="eastAsia" w:ascii="宋体" w:hAnsi="宋体" w:eastAsia="宋体" w:cs="宋体"/>
                <w:b/>
                <w:bCs/>
                <w:i w:val="0"/>
                <w:iCs w:val="0"/>
                <w:color w:val="000000"/>
                <w:sz w:val="22"/>
                <w:szCs w:val="22"/>
                <w:u w:val="none"/>
              </w:rPr>
            </w:pPr>
          </w:p>
        </w:tc>
        <w:tc>
          <w:tcPr>
            <w:tcW w:w="0" w:type="auto"/>
            <w:shd w:val="clear" w:color="auto" w:fill="auto"/>
            <w:noWrap/>
            <w:vAlign w:val="center"/>
          </w:tcPr>
          <w:p>
            <w:pPr>
              <w:rPr>
                <w:rFonts w:hint="eastAsia" w:ascii="宋体" w:hAnsi="宋体" w:eastAsia="宋体" w:cs="宋体"/>
                <w:b/>
                <w:bCs/>
                <w:i w:val="0"/>
                <w:iCs w:val="0"/>
                <w:color w:val="000000"/>
                <w:sz w:val="22"/>
                <w:szCs w:val="22"/>
                <w:u w:val="none"/>
              </w:rPr>
            </w:pPr>
          </w:p>
        </w:tc>
        <w:tc>
          <w:tcPr>
            <w:tcW w:w="0" w:type="auto"/>
            <w:shd w:val="clear" w:color="auto" w:fill="auto"/>
            <w:noWrap/>
            <w:vAlign w:val="center"/>
          </w:tcPr>
          <w:p>
            <w:pPr>
              <w:keepNext w:val="0"/>
              <w:keepLines w:val="0"/>
              <w:widowControl/>
              <w:suppressLineNumbers w:val="0"/>
              <w:jc w:val="righ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1008997</w:t>
            </w:r>
          </w:p>
        </w:tc>
        <w:tc>
          <w:tcPr>
            <w:tcW w:w="0" w:type="auto"/>
            <w:shd w:val="clear" w:color="auto" w:fill="auto"/>
            <w:noWrap/>
            <w:vAlign w:val="center"/>
          </w:tcPr>
          <w:p>
            <w:pPr>
              <w:rPr>
                <w:rFonts w:hint="eastAsia" w:ascii="宋体" w:hAnsi="宋体" w:eastAsia="宋体" w:cs="宋体"/>
                <w:b/>
                <w:bCs/>
                <w:i w:val="0"/>
                <w:iCs w:val="0"/>
                <w:color w:val="000000"/>
                <w:sz w:val="22"/>
                <w:szCs w:val="22"/>
                <w:u w:val="none"/>
              </w:rPr>
            </w:pPr>
          </w:p>
        </w:tc>
        <w:tc>
          <w:tcPr>
            <w:tcW w:w="0" w:type="auto"/>
            <w:shd w:val="clear" w:color="auto" w:fill="auto"/>
            <w:noWrap/>
            <w:vAlign w:val="center"/>
          </w:tcPr>
          <w:p>
            <w:pPr>
              <w:rPr>
                <w:rFonts w:hint="eastAsia" w:ascii="宋体" w:hAnsi="宋体" w:eastAsia="宋体" w:cs="宋体"/>
                <w:b/>
                <w:bCs/>
                <w:i w:val="0"/>
                <w:iCs w:val="0"/>
                <w:color w:val="000000"/>
                <w:sz w:val="22"/>
                <w:szCs w:val="22"/>
                <w:u w:val="none"/>
              </w:rPr>
            </w:pPr>
          </w:p>
        </w:tc>
      </w:tr>
    </w:tbl>
    <w:p>
      <w:p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E9535A"/>
    <w:rsid w:val="59E95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2022-01-10T02:55:00Z</dcterms:created>
  <dc:creator>Roseyy</dc:creator>
  <cp:lastModifiedBy>Roseyy</cp:lastModifiedBy>
  <dcterms:modified xsi:type="dcterms:W3CDTF">2022-01-10T02:57:14Z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189D05132A834C76B8BD0DF89AA26837</vt:lpwstr>
  </property>
</Properties>
</file>