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center"/>
        <w:rPr>
          <w:rFonts w:ascii="黑体" w:hAnsi="Calibri Light" w:eastAsia="黑体" w:cs="宋体"/>
          <w:b/>
          <w:bCs/>
          <w:kern w:val="0"/>
          <w:sz w:val="32"/>
          <w:szCs w:val="32"/>
        </w:rPr>
      </w:pPr>
      <w:r>
        <w:rPr>
          <w:rFonts w:hint="eastAsia" w:ascii="黑体" w:hAnsi="Calibri Light" w:eastAsia="黑体" w:cs="宋体"/>
          <w:b/>
          <w:bCs/>
          <w:kern w:val="0"/>
          <w:sz w:val="32"/>
          <w:szCs w:val="32"/>
        </w:rPr>
        <w:t>平潭综合实验区幼儿园布局专项规划公</w:t>
      </w:r>
      <w:r>
        <w:rPr>
          <w:rFonts w:hint="eastAsia" w:ascii="黑体" w:hAnsi="Calibri Light" w:eastAsia="黑体" w:cs="宋体"/>
          <w:b/>
          <w:bCs/>
          <w:kern w:val="0"/>
          <w:sz w:val="32"/>
          <w:szCs w:val="32"/>
          <w:lang w:eastAsia="zh-CN"/>
        </w:rPr>
        <w:t>布</w:t>
      </w:r>
      <w:r>
        <w:rPr>
          <w:rFonts w:hint="eastAsia" w:ascii="黑体" w:hAnsi="Calibri Light" w:eastAsia="黑体" w:cs="宋体"/>
          <w:b/>
          <w:bCs/>
          <w:kern w:val="0"/>
          <w:sz w:val="32"/>
          <w:szCs w:val="32"/>
        </w:rPr>
        <w:t>材料</w:t>
      </w:r>
    </w:p>
    <w:p>
      <w:pPr>
        <w:widowControl/>
        <w:spacing w:line="360" w:lineRule="auto"/>
        <w:rPr>
          <w:rFonts w:ascii="黑体" w:hAnsi="Calibri Light" w:eastAsia="黑体" w:cs="宋体"/>
          <w:b/>
          <w:bCs/>
          <w:color w:val="FF0000"/>
          <w:kern w:val="0"/>
          <w:sz w:val="32"/>
          <w:szCs w:val="32"/>
        </w:rPr>
      </w:pPr>
    </w:p>
    <w:p>
      <w:pPr>
        <w:pageBreakBefore w:val="0"/>
        <w:widowControl w:val="0"/>
        <w:kinsoku/>
        <w:wordWrap/>
        <w:overflowPunct/>
        <w:topLinePunct w:val="0"/>
        <w:autoSpaceDE/>
        <w:autoSpaceDN/>
        <w:bidi w:val="0"/>
        <w:adjustRightInd w:val="0"/>
        <w:snapToGrid w:val="0"/>
        <w:spacing w:line="360" w:lineRule="auto"/>
        <w:ind w:left="0" w:leftChars="0" w:right="0" w:rightChars="0" w:firstLine="590" w:firstLineChars="210"/>
        <w:jc w:val="both"/>
        <w:textAlignment w:val="auto"/>
        <w:rPr>
          <w:rFonts w:ascii="仿宋_GB2312" w:eastAsia="仿宋_GB2312"/>
          <w:b/>
          <w:sz w:val="28"/>
          <w:szCs w:val="28"/>
        </w:rPr>
      </w:pPr>
      <w:bookmarkStart w:id="0" w:name="_Toc92710573"/>
      <w:bookmarkStart w:id="1" w:name="_Toc92703302"/>
      <w:bookmarkStart w:id="2" w:name="_Toc328466473"/>
      <w:bookmarkStart w:id="3" w:name="_Toc93292074"/>
      <w:bookmarkStart w:id="4" w:name="_Toc93292948"/>
      <w:bookmarkStart w:id="5" w:name="_Toc404018105"/>
      <w:bookmarkStart w:id="6" w:name="_Toc92879269"/>
      <w:bookmarkStart w:id="7" w:name="_Toc328475792"/>
      <w:bookmarkStart w:id="8" w:name="_Toc92703151"/>
      <w:bookmarkStart w:id="9" w:name="_Toc92702989"/>
      <w:bookmarkStart w:id="10" w:name="_Toc92119831"/>
      <w:bookmarkStart w:id="11" w:name="_Toc92119683"/>
      <w:bookmarkStart w:id="12" w:name="_Toc90354224"/>
      <w:bookmarkStart w:id="13" w:name="_Toc90096837"/>
      <w:bookmarkStart w:id="14" w:name="_Toc90096687"/>
      <w:bookmarkStart w:id="15" w:name="_Toc90096599"/>
      <w:bookmarkStart w:id="16" w:name="_Toc90096517"/>
      <w:bookmarkStart w:id="17" w:name="_Toc90096443"/>
      <w:bookmarkStart w:id="18" w:name="_Toc89857992"/>
      <w:bookmarkStart w:id="19" w:name="_Toc89789218"/>
      <w:bookmarkStart w:id="20" w:name="_Toc89787774"/>
      <w:bookmarkStart w:id="21" w:name="_Toc89782183"/>
      <w:bookmarkStart w:id="22" w:name="_Toc89780591"/>
      <w:bookmarkStart w:id="23" w:name="_Toc88555062"/>
      <w:bookmarkStart w:id="24" w:name="_Toc88554890"/>
      <w:bookmarkStart w:id="25" w:name="_Toc88554858"/>
      <w:bookmarkStart w:id="26" w:name="_Toc88379940"/>
      <w:bookmarkStart w:id="27" w:name="_Toc88297129"/>
      <w:bookmarkStart w:id="28" w:name="_Toc88296785"/>
      <w:bookmarkStart w:id="29" w:name="_Toc92878541"/>
      <w:bookmarkStart w:id="30" w:name="_Toc318206691"/>
      <w:bookmarkStart w:id="31" w:name="_Toc92879553"/>
      <w:bookmarkStart w:id="32" w:name="_Toc93291766"/>
      <w:bookmarkStart w:id="33" w:name="_Toc92879603"/>
      <w:r>
        <w:rPr>
          <w:rFonts w:hint="eastAsia" w:ascii="仿宋_GB2312" w:eastAsia="仿宋_GB2312"/>
          <w:b/>
          <w:sz w:val="28"/>
          <w:szCs w:val="28"/>
        </w:rPr>
        <w:t>一、</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hint="eastAsia" w:ascii="仿宋_GB2312" w:eastAsia="仿宋_GB2312"/>
          <w:b/>
          <w:sz w:val="28"/>
          <w:szCs w:val="28"/>
        </w:rPr>
        <w:t>规划范围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本规划规划范围为平潭综合实验区行政辖区。</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90" w:firstLineChars="210"/>
        <w:jc w:val="both"/>
        <w:textAlignment w:val="auto"/>
        <w:outlineLvl w:val="0"/>
        <w:rPr>
          <w:rFonts w:ascii="仿宋_GB2312" w:hAnsi="Times New Roman" w:eastAsia="仿宋_GB2312" w:cs="Times New Roman"/>
          <w:b/>
          <w:sz w:val="28"/>
          <w:szCs w:val="28"/>
        </w:rPr>
      </w:pPr>
      <w:r>
        <w:rPr>
          <w:rFonts w:hint="eastAsia" w:ascii="仿宋_GB2312" w:eastAsia="仿宋_GB2312"/>
          <w:b/>
          <w:sz w:val="28"/>
          <w:szCs w:val="28"/>
        </w:rPr>
        <w:t>二、规划期限</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规划期限为2017～2030年，其中近期为2017～2020年，远期为2021～2030年。</w:t>
      </w:r>
    </w:p>
    <w:p>
      <w:pPr>
        <w:pageBreakBefore w:val="0"/>
        <w:widowControl w:val="0"/>
        <w:numPr>
          <w:ilvl w:val="0"/>
          <w:numId w:val="1"/>
        </w:numPr>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b/>
          <w:bCs/>
          <w:kern w:val="0"/>
          <w:sz w:val="28"/>
          <w:szCs w:val="28"/>
          <w:lang w:val="en-US" w:eastAsia="zh-CN"/>
        </w:rPr>
      </w:pPr>
      <w:r>
        <w:rPr>
          <w:rFonts w:hint="eastAsia" w:ascii="仿宋_GB2312" w:hAnsi="仿宋" w:eastAsia="仿宋_GB2312" w:cs="宋体"/>
          <w:b/>
          <w:bCs/>
          <w:kern w:val="0"/>
          <w:sz w:val="28"/>
          <w:szCs w:val="28"/>
          <w:lang w:eastAsia="zh-CN"/>
        </w:rPr>
        <w:t>规划依据</w:t>
      </w:r>
    </w:p>
    <w:p>
      <w:pPr>
        <w:pageBreakBefore w:val="0"/>
        <w:widowControl w:val="0"/>
        <w:numPr>
          <w:ilvl w:val="0"/>
          <w:numId w:val="0"/>
        </w:numPr>
        <w:kinsoku/>
        <w:wordWrap/>
        <w:overflowPunct/>
        <w:topLinePunct w:val="0"/>
        <w:autoSpaceDE/>
        <w:autoSpaceDN/>
        <w:bidi w:val="0"/>
        <w:adjustRightInd w:val="0"/>
        <w:snapToGrid w:val="0"/>
        <w:spacing w:line="360" w:lineRule="auto"/>
        <w:ind w:leftChars="210" w:right="0" w:rightChars="0"/>
        <w:jc w:val="both"/>
        <w:textAlignment w:val="auto"/>
        <w:outlineLvl w:val="0"/>
        <w:rPr>
          <w:rFonts w:hint="eastAsia" w:ascii="仿宋_GB2312" w:hAnsi="仿宋" w:eastAsia="仿宋_GB2312" w:cs="宋体"/>
          <w:b/>
          <w:bCs/>
          <w:kern w:val="0"/>
          <w:sz w:val="28"/>
          <w:szCs w:val="28"/>
          <w:lang w:val="en-US" w:eastAsia="zh-CN"/>
        </w:rPr>
      </w:pPr>
      <w:r>
        <w:rPr>
          <w:rFonts w:hint="eastAsia" w:ascii="仿宋_GB2312" w:hAnsi="仿宋" w:eastAsia="仿宋_GB2312" w:cs="宋体"/>
          <w:b/>
          <w:bCs/>
          <w:kern w:val="0"/>
          <w:sz w:val="28"/>
          <w:szCs w:val="28"/>
          <w:lang w:val="en-US" w:eastAsia="zh-CN"/>
        </w:rPr>
        <w:t xml:space="preserve"> </w:t>
      </w:r>
      <w:r>
        <w:rPr>
          <w:rFonts w:hint="eastAsia" w:ascii="仿宋_GB2312" w:hAnsi="仿宋" w:eastAsia="仿宋_GB2312" w:cs="宋体"/>
          <w:kern w:val="0"/>
          <w:sz w:val="28"/>
          <w:szCs w:val="28"/>
          <w:lang w:val="en-US" w:eastAsia="zh-CN"/>
        </w:rPr>
        <w:t>3.1 相关法规与标准</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（1）《中华人民共和国城乡规划法》，2008年；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（2）《城市幼儿园建筑面积定额》，国家教育委员会、建设部，1988年；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（3）《城市居住区规划设计规范》GB50180—93，2002年；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（4）《幼儿园教育指导纲要》，中华人民共和国教育部，2007年；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（5）《福建省教育用地控制指标》（试行）,福建省国土资源厅、福建省教育厅、福建省建设厅 ,2007年；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（6）《福建省示范性幼儿园评估办法（试行）》，福建省教育厅，2007年；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（7）《平潭综合实验区城市规划管理技术规定（2011版）》，平潭综合实验区规划局，2011年；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w:t>
      </w:r>
      <w:r>
        <w:rPr>
          <w:rFonts w:hint="eastAsia" w:ascii="仿宋_GB2312" w:hAnsi="仿宋" w:eastAsia="仿宋_GB2312" w:cs="宋体"/>
          <w:kern w:val="0"/>
          <w:sz w:val="28"/>
          <w:szCs w:val="28"/>
          <w:lang w:val="en-US" w:eastAsia="zh-CN"/>
        </w:rPr>
        <w:t>8</w:t>
      </w:r>
      <w:r>
        <w:rPr>
          <w:rFonts w:hint="eastAsia" w:ascii="仿宋_GB2312" w:hAnsi="仿宋" w:eastAsia="仿宋_GB2312" w:cs="宋体"/>
          <w:kern w:val="0"/>
          <w:sz w:val="28"/>
          <w:szCs w:val="28"/>
        </w:rPr>
        <w:t>）《幼儿园建设标准（建标175-2016）》，中华人民共和国教育部</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w:t>
      </w:r>
      <w:r>
        <w:rPr>
          <w:rFonts w:hint="eastAsia" w:ascii="仿宋_GB2312" w:hAnsi="仿宋" w:eastAsia="仿宋_GB2312" w:cs="宋体"/>
          <w:kern w:val="0"/>
          <w:sz w:val="28"/>
          <w:szCs w:val="28"/>
          <w:lang w:val="en-US" w:eastAsia="zh-CN"/>
        </w:rPr>
        <w:t>9</w:t>
      </w:r>
      <w:r>
        <w:rPr>
          <w:rFonts w:hint="eastAsia" w:ascii="仿宋_GB2312" w:hAnsi="仿宋" w:eastAsia="仿宋_GB2312" w:cs="宋体"/>
          <w:kern w:val="0"/>
          <w:sz w:val="28"/>
          <w:szCs w:val="28"/>
        </w:rPr>
        <w:t>）《福建省住房与城乡建设厅关于发布“街道、社区公共服务设施配置指引”的通知》，2017年。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lang w:val="en-US" w:eastAsia="zh-CN"/>
        </w:rPr>
        <w:t xml:space="preserve">3.2 </w:t>
      </w:r>
      <w:r>
        <w:rPr>
          <w:rFonts w:hint="eastAsia" w:ascii="仿宋_GB2312" w:hAnsi="仿宋" w:eastAsia="仿宋_GB2312" w:cs="宋体"/>
          <w:kern w:val="0"/>
          <w:sz w:val="28"/>
          <w:szCs w:val="28"/>
        </w:rPr>
        <w:t>相关规划</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（1）《平潭综合实验区总体规划（2011-2030）》，2012年；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（2）平潭综合实验区已编制与在编的控制性详细规划；</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（3）平潭综合实验区已编制与在编的城市设计和概念性规划。</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lang w:val="en-US" w:eastAsia="zh-CN"/>
        </w:rPr>
        <w:t xml:space="preserve">3.3 </w:t>
      </w:r>
      <w:r>
        <w:rPr>
          <w:rFonts w:hint="eastAsia" w:ascii="仿宋_GB2312" w:hAnsi="仿宋" w:eastAsia="仿宋_GB2312" w:cs="宋体"/>
          <w:kern w:val="0"/>
          <w:sz w:val="28"/>
          <w:szCs w:val="28"/>
        </w:rPr>
        <w:t>相关文件</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（1）《国务院关于当前发展学前教育的若干意见》，2010年；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 xml:space="preserve">（2）《福建省人民政府关于加快学前教育发展的意见》，2010年； </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（3）《平潭保护城市中小学幼儿园建设用地若干规定》（2011年）；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（4）《平潭第二期学前教育三年行动计划》（2015-2017年）；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（5）《福建省第二期学前教育三年行动计划》（2015-2017年）；</w:t>
      </w:r>
    </w:p>
    <w:p>
      <w:pPr>
        <w:pageBreakBefore w:val="0"/>
        <w:widowControl w:val="0"/>
        <w:kinsoku/>
        <w:wordWrap/>
        <w:overflowPunct/>
        <w:topLinePunct w:val="0"/>
        <w:autoSpaceDE/>
        <w:autoSpaceDN/>
        <w:bidi w:val="0"/>
        <w:adjustRightInd w:val="0"/>
        <w:snapToGrid w:val="0"/>
        <w:spacing w:line="360" w:lineRule="auto"/>
        <w:ind w:left="0" w:leftChars="0" w:right="0" w:rightChars="0" w:firstLine="588" w:firstLineChars="210"/>
        <w:jc w:val="both"/>
        <w:textAlignment w:val="auto"/>
        <w:outlineLvl w:val="0"/>
        <w:rPr>
          <w:rFonts w:hint="eastAsia" w:ascii="仿宋_GB2312" w:hAnsi="仿宋" w:eastAsia="仿宋_GB2312" w:cs="宋体"/>
          <w:kern w:val="0"/>
          <w:sz w:val="28"/>
          <w:szCs w:val="28"/>
          <w:lang w:eastAsia="zh-CN"/>
        </w:rPr>
      </w:pPr>
      <w:r>
        <w:rPr>
          <w:rFonts w:hint="eastAsia" w:ascii="仿宋_GB2312" w:hAnsi="仿宋" w:eastAsia="仿宋_GB2312" w:cs="宋体"/>
          <w:kern w:val="0"/>
          <w:sz w:val="28"/>
          <w:szCs w:val="28"/>
        </w:rPr>
        <w:t>（6）《平潭综合实验区社会事业局学前教育“十三五”规划（2016-2020）》（征求意见稿），2016年</w:t>
      </w:r>
      <w:r>
        <w:rPr>
          <w:rFonts w:hint="eastAsia" w:ascii="仿宋_GB2312" w:hAnsi="仿宋" w:eastAsia="仿宋_GB2312" w:cs="宋体"/>
          <w:kern w:val="0"/>
          <w:sz w:val="28"/>
          <w:szCs w:val="28"/>
          <w:lang w:eastAsia="zh-CN"/>
        </w:rPr>
        <w:t>。</w:t>
      </w:r>
    </w:p>
    <w:p>
      <w:pPr>
        <w:adjustRightInd w:val="0"/>
        <w:snapToGrid w:val="0"/>
        <w:spacing w:line="560" w:lineRule="exact"/>
        <w:ind w:firstLine="562" w:firstLineChars="200"/>
        <w:rPr>
          <w:rFonts w:ascii="仿宋_GB2312" w:hAnsi="Times New Roman" w:eastAsia="仿宋_GB2312" w:cs="Times New Roman"/>
          <w:b/>
          <w:sz w:val="28"/>
          <w:szCs w:val="28"/>
        </w:rPr>
      </w:pPr>
      <w:r>
        <w:rPr>
          <w:rFonts w:hint="eastAsia" w:ascii="仿宋_GB2312" w:eastAsia="仿宋_GB2312"/>
          <w:b/>
          <w:sz w:val="28"/>
          <w:szCs w:val="28"/>
          <w:lang w:eastAsia="zh-CN"/>
        </w:rPr>
        <w:t>四</w:t>
      </w:r>
      <w:r>
        <w:rPr>
          <w:rFonts w:hint="eastAsia" w:ascii="仿宋_GB2312" w:eastAsia="仿宋_GB2312"/>
          <w:b/>
          <w:sz w:val="28"/>
          <w:szCs w:val="28"/>
        </w:rPr>
        <w:t>、规划指标体系</w:t>
      </w:r>
    </w:p>
    <w:p>
      <w:pPr>
        <w:spacing w:line="500" w:lineRule="exact"/>
        <w:ind w:firstLine="560" w:firstLineChars="200"/>
        <w:rPr>
          <w:rFonts w:ascii="仿宋_GB2312" w:hAnsi="仿宋" w:eastAsia="仿宋_GB2312" w:cs="宋体"/>
          <w:color w:val="000000" w:themeColor="text1"/>
          <w:kern w:val="0"/>
          <w:sz w:val="28"/>
          <w:szCs w:val="28"/>
        </w:rPr>
      </w:pPr>
      <w:r>
        <w:rPr>
          <w:rFonts w:hint="eastAsia" w:ascii="仿宋_GB2312" w:hAnsi="仿宋" w:eastAsia="仿宋_GB2312" w:cs="宋体"/>
          <w:color w:val="000000" w:themeColor="text1"/>
          <w:kern w:val="0"/>
          <w:sz w:val="28"/>
          <w:szCs w:val="28"/>
        </w:rPr>
        <w:t>幼儿园千人指标为为40座/千人；规划新建幼儿园生均用地面积14～16平方米；规划新建幼儿园生均建筑面积8.84～14.8平方米；幼儿园的办学规模以9、12班为主，平均每班所容纳的幼儿数应控制在30人之内。</w:t>
      </w:r>
    </w:p>
    <w:p>
      <w:pPr>
        <w:adjustRightInd w:val="0"/>
        <w:snapToGrid w:val="0"/>
        <w:spacing w:line="560" w:lineRule="exact"/>
        <w:ind w:firstLine="590" w:firstLineChars="210"/>
        <w:outlineLvl w:val="0"/>
        <w:rPr>
          <w:rFonts w:ascii="仿宋_GB2312" w:hAnsi="Times New Roman" w:eastAsia="仿宋_GB2312" w:cs="Times New Roman"/>
          <w:b/>
          <w:sz w:val="28"/>
          <w:szCs w:val="28"/>
        </w:rPr>
      </w:pPr>
      <w:r>
        <w:rPr>
          <w:rFonts w:hint="eastAsia" w:ascii="仿宋_GB2312" w:eastAsia="仿宋_GB2312"/>
          <w:b/>
          <w:sz w:val="28"/>
          <w:szCs w:val="28"/>
          <w:lang w:eastAsia="zh-CN"/>
        </w:rPr>
        <w:t>五</w:t>
      </w:r>
      <w:r>
        <w:rPr>
          <w:rFonts w:hint="eastAsia" w:ascii="仿宋_GB2312" w:eastAsia="仿宋_GB2312"/>
          <w:b/>
          <w:sz w:val="28"/>
          <w:szCs w:val="28"/>
        </w:rPr>
        <w:t>、生源预测</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（1）人口规模预测：</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至2030年平潭综合实验区人口为123.4万人，主岛规划总人口为120.4万人</w:t>
      </w:r>
      <w:bookmarkStart w:id="34" w:name="_GoBack"/>
      <w:bookmarkEnd w:id="34"/>
      <w:r>
        <w:rPr>
          <w:rFonts w:hint="eastAsia" w:ascii="仿宋_GB2312" w:hAnsi="仿宋" w:eastAsia="仿宋_GB2312" w:cs="宋体"/>
          <w:kern w:val="0"/>
          <w:sz w:val="28"/>
          <w:szCs w:val="28"/>
        </w:rPr>
        <w:t xml:space="preserve">。    </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（2）生源数预测：</w:t>
      </w:r>
    </w:p>
    <w:p>
      <w:pPr>
        <w:adjustRightInd w:val="0"/>
        <w:snapToGrid w:val="0"/>
        <w:spacing w:line="560" w:lineRule="exact"/>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至2030年全区学位需求为4.60万个，全区所需幼儿园班级数1534班。</w:t>
      </w:r>
    </w:p>
    <w:p>
      <w:pPr>
        <w:adjustRightInd w:val="0"/>
        <w:snapToGrid w:val="0"/>
        <w:spacing w:line="560" w:lineRule="exact"/>
        <w:ind w:firstLine="590" w:firstLineChars="210"/>
        <w:outlineLvl w:val="0"/>
        <w:rPr>
          <w:rFonts w:ascii="仿宋_GB2312" w:hAnsi="Times New Roman" w:eastAsia="仿宋_GB2312" w:cs="Times New Roman"/>
          <w:b/>
          <w:color w:val="FF0000"/>
          <w:sz w:val="28"/>
          <w:szCs w:val="28"/>
        </w:rPr>
      </w:pPr>
      <w:r>
        <w:rPr>
          <w:rFonts w:hint="eastAsia" w:ascii="仿宋_GB2312" w:eastAsia="仿宋_GB2312"/>
          <w:b/>
          <w:sz w:val="28"/>
          <w:szCs w:val="28"/>
          <w:lang w:eastAsia="zh-CN"/>
        </w:rPr>
        <w:t>六</w:t>
      </w:r>
      <w:r>
        <w:rPr>
          <w:rFonts w:hint="eastAsia" w:ascii="仿宋_GB2312" w:eastAsia="仿宋_GB2312"/>
          <w:b/>
          <w:sz w:val="28"/>
          <w:szCs w:val="28"/>
        </w:rPr>
        <w:t>、</w:t>
      </w:r>
      <w:r>
        <w:rPr>
          <w:rFonts w:hint="eastAsia" w:ascii="黑体" w:hAnsi="宋体" w:eastAsia="黑体"/>
          <w:sz w:val="28"/>
          <w:szCs w:val="28"/>
        </w:rPr>
        <w:t>总体规划布局</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（1）总体布局：本规划至规划期末全区幼儿园班级数为1644班，提供学位数4.93万个，幼儿园总数达到138所（未含幸福洋、芦南单元等远期弹性发展用地区域内幼儿园数）。</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（2）主岛幼儿园布局：本规划主岛规划班级总数为1599班，学位数4.80万个，幼儿园共131所（不含幸福洋单元、芦南单元等远期弹性发展用地区域内幼儿园数）。</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（3）离岛幼儿园布局：本规划离岛规划班级总数为45班，学位数1350个，幼儿园共7所。</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（4）幼儿园设施的规划控制</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规划对幼儿园设施布局的控制主要采取三种方式。</w:t>
      </w:r>
    </w:p>
    <w:p>
      <w:pPr>
        <w:spacing w:line="500" w:lineRule="exact"/>
        <w:ind w:firstLine="560" w:firstLineChars="200"/>
        <w:rPr>
          <w:rFonts w:ascii="仿宋_GB2312" w:hAnsi="仿宋" w:eastAsia="仿宋_GB2312" w:cs="宋体"/>
          <w:kern w:val="0"/>
          <w:sz w:val="28"/>
          <w:szCs w:val="28"/>
        </w:rPr>
      </w:pPr>
      <w:r>
        <w:rPr>
          <w:rFonts w:ascii="仿宋_GB2312" w:hAnsi="仿宋" w:eastAsia="仿宋_GB2312" w:cs="宋体"/>
          <w:kern w:val="0"/>
          <w:sz w:val="28"/>
          <w:szCs w:val="28"/>
        </w:rPr>
        <w:fldChar w:fldCharType="begin"/>
      </w:r>
      <w:r>
        <w:rPr>
          <w:rFonts w:hint="eastAsia" w:ascii="仿宋_GB2312" w:hAnsi="仿宋" w:eastAsia="仿宋_GB2312" w:cs="宋体"/>
          <w:kern w:val="0"/>
          <w:sz w:val="28"/>
          <w:szCs w:val="28"/>
        </w:rPr>
        <w:instrText xml:space="preserve">= 1 \* GB3</w:instrText>
      </w:r>
      <w:r>
        <w:rPr>
          <w:rFonts w:ascii="仿宋_GB2312" w:hAnsi="仿宋" w:eastAsia="仿宋_GB2312" w:cs="宋体"/>
          <w:kern w:val="0"/>
          <w:sz w:val="28"/>
          <w:szCs w:val="28"/>
        </w:rPr>
        <w:fldChar w:fldCharType="separate"/>
      </w:r>
      <w:r>
        <w:rPr>
          <w:rFonts w:hint="eastAsia" w:ascii="仿宋_GB2312" w:hAnsi="仿宋" w:eastAsia="仿宋_GB2312" w:cs="宋体"/>
          <w:kern w:val="0"/>
          <w:sz w:val="28"/>
          <w:szCs w:val="28"/>
        </w:rPr>
        <w:t>①</w:t>
      </w:r>
      <w:r>
        <w:rPr>
          <w:rFonts w:ascii="仿宋_GB2312" w:hAnsi="仿宋" w:eastAsia="仿宋_GB2312" w:cs="宋体"/>
          <w:kern w:val="0"/>
          <w:sz w:val="28"/>
          <w:szCs w:val="28"/>
        </w:rPr>
        <w:fldChar w:fldCharType="end"/>
      </w:r>
      <w:r>
        <w:rPr>
          <w:rFonts w:hint="eastAsia" w:ascii="仿宋_GB2312" w:hAnsi="仿宋" w:eastAsia="仿宋_GB2312" w:cs="宋体"/>
          <w:kern w:val="0"/>
          <w:sz w:val="28"/>
          <w:szCs w:val="28"/>
        </w:rPr>
        <w:t>图标控制</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主要针对规划新建但未明确是独立建设的幼儿园。此类幼儿园为单独占地，但是在满足服务半径和建设规模指标的前提下可在同一个基本单元的范围内进行适当移动。</w:t>
      </w:r>
    </w:p>
    <w:p>
      <w:pPr>
        <w:spacing w:line="500" w:lineRule="exact"/>
        <w:ind w:firstLine="560" w:firstLineChars="200"/>
        <w:rPr>
          <w:rFonts w:ascii="仿宋_GB2312" w:hAnsi="仿宋" w:eastAsia="仿宋_GB2312" w:cs="宋体"/>
          <w:kern w:val="0"/>
          <w:sz w:val="28"/>
          <w:szCs w:val="28"/>
        </w:rPr>
      </w:pPr>
      <w:r>
        <w:rPr>
          <w:rFonts w:ascii="仿宋_GB2312" w:hAnsi="仿宋" w:eastAsia="仿宋_GB2312" w:cs="宋体"/>
          <w:kern w:val="0"/>
          <w:sz w:val="28"/>
          <w:szCs w:val="28"/>
        </w:rPr>
        <w:fldChar w:fldCharType="begin"/>
      </w:r>
      <w:r>
        <w:rPr>
          <w:rFonts w:hint="eastAsia" w:ascii="仿宋_GB2312" w:hAnsi="仿宋" w:eastAsia="仿宋_GB2312" w:cs="宋体"/>
          <w:kern w:val="0"/>
          <w:sz w:val="28"/>
          <w:szCs w:val="28"/>
        </w:rPr>
        <w:instrText xml:space="preserve">= 2 \* GB3</w:instrText>
      </w:r>
      <w:r>
        <w:rPr>
          <w:rFonts w:ascii="仿宋_GB2312" w:hAnsi="仿宋" w:eastAsia="仿宋_GB2312" w:cs="宋体"/>
          <w:kern w:val="0"/>
          <w:sz w:val="28"/>
          <w:szCs w:val="28"/>
        </w:rPr>
        <w:fldChar w:fldCharType="separate"/>
      </w:r>
      <w:r>
        <w:rPr>
          <w:rFonts w:hint="eastAsia" w:ascii="仿宋_GB2312" w:hAnsi="仿宋" w:eastAsia="仿宋_GB2312" w:cs="宋体"/>
          <w:kern w:val="0"/>
          <w:sz w:val="28"/>
          <w:szCs w:val="28"/>
        </w:rPr>
        <w:t>②</w:t>
      </w:r>
      <w:r>
        <w:rPr>
          <w:rFonts w:ascii="仿宋_GB2312" w:hAnsi="仿宋" w:eastAsia="仿宋_GB2312" w:cs="宋体"/>
          <w:kern w:val="0"/>
          <w:sz w:val="28"/>
          <w:szCs w:val="28"/>
        </w:rPr>
        <w:fldChar w:fldCharType="end"/>
      </w:r>
      <w:r>
        <w:rPr>
          <w:rFonts w:hint="eastAsia" w:ascii="仿宋_GB2312" w:hAnsi="仿宋" w:eastAsia="仿宋_GB2312" w:cs="宋体"/>
          <w:kern w:val="0"/>
          <w:sz w:val="28"/>
          <w:szCs w:val="28"/>
        </w:rPr>
        <w:t>实位控制</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主要针对现状有独立产权界线的幼儿园，以及规划新建且有明确独立供地与建设意向的幼儿园。此类幼儿园独立占地，原则上用地位置与范围不得更改，若有特殊情况需更改，必须经过相应的调整、论证及审查程序，且调整后的建设规模</w:t>
      </w:r>
      <w:r>
        <w:rPr>
          <w:rFonts w:hint="eastAsia" w:ascii="仿宋_GB2312" w:hAnsi="仿宋" w:eastAsia="仿宋_GB2312" w:cs="宋体"/>
          <w:kern w:val="0"/>
          <w:sz w:val="28"/>
          <w:szCs w:val="28"/>
          <w:lang w:eastAsia="zh-CN"/>
        </w:rPr>
        <w:t>必须满足现有要求</w:t>
      </w:r>
      <w:r>
        <w:rPr>
          <w:rFonts w:hint="eastAsia" w:ascii="仿宋_GB2312" w:hAnsi="仿宋" w:eastAsia="仿宋_GB2312" w:cs="宋体"/>
          <w:kern w:val="0"/>
          <w:sz w:val="28"/>
          <w:szCs w:val="28"/>
        </w:rPr>
        <w:t>。</w:t>
      </w:r>
    </w:p>
    <w:p>
      <w:pPr>
        <w:spacing w:line="500" w:lineRule="exact"/>
        <w:ind w:firstLine="560" w:firstLineChars="200"/>
        <w:rPr>
          <w:rFonts w:ascii="仿宋_GB2312" w:hAnsi="仿宋" w:eastAsia="仿宋_GB2312" w:cs="宋体"/>
          <w:kern w:val="0"/>
          <w:sz w:val="28"/>
          <w:szCs w:val="28"/>
        </w:rPr>
      </w:pPr>
      <w:r>
        <w:rPr>
          <w:rFonts w:ascii="仿宋_GB2312" w:hAnsi="仿宋" w:eastAsia="仿宋_GB2312" w:cs="宋体"/>
          <w:kern w:val="0"/>
          <w:sz w:val="28"/>
          <w:szCs w:val="28"/>
        </w:rPr>
        <w:fldChar w:fldCharType="begin"/>
      </w:r>
      <w:r>
        <w:rPr>
          <w:rFonts w:hint="eastAsia" w:ascii="仿宋_GB2312" w:hAnsi="仿宋" w:eastAsia="仿宋_GB2312" w:cs="宋体"/>
          <w:kern w:val="0"/>
          <w:sz w:val="28"/>
          <w:szCs w:val="28"/>
        </w:rPr>
        <w:instrText xml:space="preserve">= 3 \* GB3</w:instrText>
      </w:r>
      <w:r>
        <w:rPr>
          <w:rFonts w:ascii="仿宋_GB2312" w:hAnsi="仿宋" w:eastAsia="仿宋_GB2312" w:cs="宋体"/>
          <w:kern w:val="0"/>
          <w:sz w:val="28"/>
          <w:szCs w:val="28"/>
        </w:rPr>
        <w:fldChar w:fldCharType="separate"/>
      </w:r>
      <w:r>
        <w:rPr>
          <w:rFonts w:hint="eastAsia" w:ascii="仿宋_GB2312" w:hAnsi="仿宋" w:eastAsia="仿宋_GB2312" w:cs="宋体"/>
          <w:kern w:val="0"/>
          <w:sz w:val="28"/>
          <w:szCs w:val="28"/>
        </w:rPr>
        <w:t>③</w:t>
      </w:r>
      <w:r>
        <w:rPr>
          <w:rFonts w:ascii="仿宋_GB2312" w:hAnsi="仿宋" w:eastAsia="仿宋_GB2312" w:cs="宋体"/>
          <w:kern w:val="0"/>
          <w:sz w:val="28"/>
          <w:szCs w:val="28"/>
        </w:rPr>
        <w:fldChar w:fldCharType="end"/>
      </w:r>
      <w:r>
        <w:rPr>
          <w:rFonts w:hint="eastAsia" w:ascii="仿宋_GB2312" w:hAnsi="仿宋" w:eastAsia="仿宋_GB2312" w:cs="宋体"/>
          <w:kern w:val="0"/>
          <w:sz w:val="28"/>
          <w:szCs w:val="28"/>
        </w:rPr>
        <w:t>指标控制</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主要针对现状的幼儿园。此类幼儿园主要有两种情况，一种为无独立建设用地，依附某类现状建筑设置的幼儿园；一种为有独立建设用地，但用地面积满足不了现有班级数规模需求，并且用地无法扩增的幼儿园。规划要求此类幼儿园通过扩建与改建建筑的方式，在建筑面积指标上应满足相应班级规模的要求。</w:t>
      </w:r>
    </w:p>
    <w:p>
      <w:pPr>
        <w:adjustRightInd w:val="0"/>
        <w:snapToGrid w:val="0"/>
        <w:spacing w:line="560" w:lineRule="exact"/>
        <w:ind w:firstLine="590" w:firstLineChars="210"/>
        <w:outlineLvl w:val="0"/>
        <w:rPr>
          <w:rFonts w:ascii="仿宋_GB2312" w:hAnsi="Times New Roman" w:eastAsia="仿宋_GB2312" w:cs="Times New Roman"/>
          <w:b/>
          <w:color w:val="FF0000"/>
          <w:sz w:val="28"/>
          <w:szCs w:val="28"/>
        </w:rPr>
      </w:pPr>
      <w:r>
        <w:rPr>
          <w:rFonts w:hint="eastAsia" w:ascii="仿宋_GB2312" w:eastAsia="仿宋_GB2312"/>
          <w:b/>
          <w:sz w:val="28"/>
          <w:szCs w:val="28"/>
          <w:lang w:eastAsia="zh-CN"/>
        </w:rPr>
        <w:t>七</w:t>
      </w:r>
      <w:r>
        <w:rPr>
          <w:rFonts w:hint="eastAsia" w:ascii="仿宋_GB2312" w:eastAsia="仿宋_GB2312"/>
          <w:b/>
          <w:sz w:val="28"/>
          <w:szCs w:val="28"/>
        </w:rPr>
        <w:t>、</w:t>
      </w:r>
      <w:r>
        <w:rPr>
          <w:rFonts w:hint="eastAsia" w:ascii="黑体" w:hAnsi="宋体" w:eastAsia="黑体"/>
          <w:sz w:val="28"/>
          <w:szCs w:val="28"/>
        </w:rPr>
        <w:t>近期建设规划</w:t>
      </w:r>
    </w:p>
    <w:p>
      <w:pPr>
        <w:spacing w:line="500" w:lineRule="exact"/>
        <w:ind w:firstLine="560" w:firstLineChars="200"/>
        <w:rPr>
          <w:rFonts w:ascii="仿宋_GB2312" w:hAnsi="仿宋" w:eastAsia="仿宋_GB2312" w:cs="宋体"/>
          <w:kern w:val="0"/>
          <w:sz w:val="28"/>
          <w:szCs w:val="28"/>
        </w:rPr>
      </w:pPr>
      <w:r>
        <w:rPr>
          <w:rFonts w:hint="eastAsia" w:ascii="仿宋_GB2312" w:hAnsi="仿宋" w:eastAsia="仿宋_GB2312" w:cs="宋体"/>
          <w:kern w:val="0"/>
          <w:sz w:val="28"/>
          <w:szCs w:val="28"/>
        </w:rPr>
        <w:t>至2020年，规划共计划建设36所幼儿园，其中规划新建幼儿园22所，原址扩建幼儿园2所，利用在建幼儿园9所、利用闲置校舍资源改建幼儿园3所。总班级数为438个班。</w:t>
      </w:r>
    </w:p>
    <w:p>
      <w:pPr>
        <w:adjustRightInd w:val="0"/>
        <w:snapToGrid w:val="0"/>
        <w:spacing w:line="560" w:lineRule="exact"/>
        <w:ind w:firstLine="590" w:firstLineChars="210"/>
        <w:outlineLvl w:val="0"/>
        <w:rPr>
          <w:rFonts w:ascii="仿宋_GB2312" w:eastAsia="仿宋_GB2312"/>
          <w:b/>
          <w:sz w:val="28"/>
          <w:szCs w:val="28"/>
        </w:rPr>
      </w:pPr>
      <w:r>
        <w:rPr>
          <w:rFonts w:hint="eastAsia" w:ascii="仿宋_GB2312" w:eastAsia="仿宋_GB2312"/>
          <w:b/>
          <w:sz w:val="28"/>
          <w:szCs w:val="28"/>
          <w:lang w:eastAsia="zh-CN"/>
        </w:rPr>
        <w:t>八</w:t>
      </w:r>
      <w:r>
        <w:rPr>
          <w:rFonts w:hint="eastAsia" w:ascii="仿宋_GB2312" w:eastAsia="仿宋_GB2312"/>
          <w:b/>
          <w:sz w:val="28"/>
          <w:szCs w:val="28"/>
        </w:rPr>
        <w:t>、</w:t>
      </w:r>
      <w:r>
        <w:rPr>
          <w:rFonts w:hint="eastAsia" w:ascii="黑体" w:hAnsi="宋体" w:eastAsia="黑体"/>
          <w:sz w:val="28"/>
          <w:szCs w:val="28"/>
        </w:rPr>
        <w:t>主要规划图纸</w:t>
      </w:r>
    </w:p>
    <w:p>
      <w:pPr>
        <w:spacing w:afterAutospacing="0"/>
        <w:ind w:firstLine="560" w:firstLineChars="20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主要规划图纸有：</w:t>
      </w:r>
    </w:p>
    <w:p>
      <w:pPr>
        <w:spacing w:before="159" w:beforeLines="50" w:beforeAutospacing="0"/>
        <w:ind w:firstLine="560" w:firstLineChars="200"/>
        <w:jc w:val="center"/>
        <w:rPr>
          <w:rFonts w:hint="eastAsia" w:ascii="仿宋_GB2312" w:hAnsi="仿宋" w:eastAsia="仿宋_GB2312" w:cs="宋体"/>
          <w:kern w:val="0"/>
          <w:sz w:val="28"/>
          <w:szCs w:val="28"/>
          <w:lang w:eastAsia="zh-CN"/>
        </w:rPr>
      </w:pPr>
      <w:r>
        <w:rPr>
          <w:rFonts w:hint="eastAsia" w:ascii="仿宋_GB2312" w:hAnsi="仿宋" w:eastAsia="仿宋_GB2312" w:cs="宋体"/>
          <w:kern w:val="0"/>
          <w:sz w:val="28"/>
          <w:szCs w:val="28"/>
          <w:lang w:eastAsia="zh-CN"/>
        </w:rPr>
        <w:drawing>
          <wp:inline distT="0" distB="0" distL="114300" distR="114300">
            <wp:extent cx="4201160" cy="5744210"/>
            <wp:effectExtent l="0" t="0" r="8890" b="8890"/>
            <wp:docPr id="1" name="图片 1" descr="01-幼儿园总体规划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幼儿园总体规划布局图"/>
                    <pic:cNvPicPr>
                      <a:picLocks noChangeAspect="1"/>
                    </pic:cNvPicPr>
                  </pic:nvPicPr>
                  <pic:blipFill>
                    <a:blip r:embed="rId4"/>
                    <a:stretch>
                      <a:fillRect/>
                    </a:stretch>
                  </pic:blipFill>
                  <pic:spPr>
                    <a:xfrm>
                      <a:off x="0" y="0"/>
                      <a:ext cx="4201160" cy="5744210"/>
                    </a:xfrm>
                    <a:prstGeom prst="rect">
                      <a:avLst/>
                    </a:prstGeom>
                  </pic:spPr>
                </pic:pic>
              </a:graphicData>
            </a:graphic>
          </wp:inline>
        </w:drawing>
      </w:r>
    </w:p>
    <w:p>
      <w:pPr>
        <w:spacing w:before="159" w:beforeLines="50" w:beforeAutospacing="0"/>
        <w:ind w:firstLine="560" w:firstLineChars="200"/>
        <w:jc w:val="center"/>
        <w:rPr>
          <w:rFonts w:hint="eastAsia" w:ascii="仿宋_GB2312" w:hAnsi="仿宋" w:eastAsia="仿宋_GB2312" w:cs="宋体"/>
          <w:kern w:val="0"/>
          <w:sz w:val="28"/>
          <w:szCs w:val="28"/>
        </w:rPr>
      </w:pPr>
      <w:r>
        <w:rPr>
          <w:rFonts w:hint="eastAsia" w:ascii="仿宋_GB2312" w:hAnsi="仿宋" w:eastAsia="仿宋_GB2312" w:cs="宋体"/>
          <w:kern w:val="0"/>
          <w:sz w:val="28"/>
          <w:szCs w:val="28"/>
        </w:rPr>
        <w:t>主岛幼儿园总体规划布局图</w:t>
      </w:r>
    </w:p>
    <w:p>
      <w:pPr>
        <w:ind w:left="0" w:leftChars="0" w:firstLine="0" w:firstLineChars="0"/>
        <w:jc w:val="both"/>
        <w:rPr>
          <w:rFonts w:hint="eastAsia" w:ascii="仿宋_GB2312" w:hAnsi="仿宋" w:eastAsia="仿宋_GB2312" w:cs="宋体"/>
          <w:kern w:val="0"/>
          <w:sz w:val="28"/>
          <w:szCs w:val="28"/>
          <w:lang w:eastAsia="zh-CN"/>
        </w:rPr>
      </w:pPr>
      <w:r>
        <w:rPr>
          <w:rFonts w:hint="eastAsia" w:ascii="仿宋_GB2312" w:hAnsi="仿宋" w:eastAsia="仿宋_GB2312" w:cs="宋体"/>
          <w:kern w:val="0"/>
          <w:sz w:val="28"/>
          <w:szCs w:val="28"/>
          <w:lang w:eastAsia="zh-CN"/>
        </w:rPr>
        <w:drawing>
          <wp:inline distT="0" distB="0" distL="114300" distR="114300">
            <wp:extent cx="5337175" cy="7553960"/>
            <wp:effectExtent l="0" t="0" r="15875" b="8890"/>
            <wp:docPr id="2" name="图片 2" descr="02-农村地区幼儿园布局规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农村地区幼儿园布局规划图"/>
                    <pic:cNvPicPr>
                      <a:picLocks noChangeAspect="1"/>
                    </pic:cNvPicPr>
                  </pic:nvPicPr>
                  <pic:blipFill>
                    <a:blip r:embed="rId5"/>
                    <a:stretch>
                      <a:fillRect/>
                    </a:stretch>
                  </pic:blipFill>
                  <pic:spPr>
                    <a:xfrm>
                      <a:off x="0" y="0"/>
                      <a:ext cx="5337175" cy="7553960"/>
                    </a:xfrm>
                    <a:prstGeom prst="rect">
                      <a:avLst/>
                    </a:prstGeom>
                  </pic:spPr>
                </pic:pic>
              </a:graphicData>
            </a:graphic>
          </wp:inline>
        </w:drawing>
      </w:r>
    </w:p>
    <w:p>
      <w:pPr>
        <w:ind w:firstLine="560" w:firstLineChars="200"/>
        <w:jc w:val="center"/>
        <w:rPr>
          <w:rFonts w:hint="eastAsia" w:ascii="仿宋_GB2312" w:hAnsi="仿宋" w:eastAsia="仿宋_GB2312" w:cs="宋体"/>
          <w:kern w:val="0"/>
          <w:sz w:val="28"/>
          <w:szCs w:val="28"/>
        </w:rPr>
      </w:pPr>
      <w:r>
        <w:rPr>
          <w:rFonts w:hint="eastAsia" w:ascii="仿宋_GB2312" w:hAnsi="仿宋" w:eastAsia="仿宋_GB2312" w:cs="宋体"/>
          <w:kern w:val="0"/>
          <w:sz w:val="28"/>
          <w:szCs w:val="28"/>
        </w:rPr>
        <w:t>主岛农村幼儿园规划布局图</w:t>
      </w:r>
    </w:p>
    <w:p>
      <w:pPr>
        <w:ind w:left="0" w:leftChars="0" w:firstLine="95" w:firstLineChars="34"/>
        <w:jc w:val="center"/>
        <w:rPr>
          <w:rFonts w:hint="eastAsia" w:ascii="仿宋_GB2312" w:hAnsi="仿宋" w:eastAsia="仿宋_GB2312" w:cs="宋体"/>
          <w:kern w:val="0"/>
          <w:sz w:val="28"/>
          <w:szCs w:val="28"/>
          <w:lang w:eastAsia="zh-CN"/>
        </w:rPr>
      </w:pPr>
      <w:r>
        <w:rPr>
          <w:rFonts w:hint="eastAsia" w:ascii="仿宋_GB2312" w:hAnsi="仿宋" w:eastAsia="仿宋_GB2312" w:cs="宋体"/>
          <w:kern w:val="0"/>
          <w:sz w:val="28"/>
          <w:szCs w:val="28"/>
          <w:lang w:eastAsia="zh-CN"/>
        </w:rPr>
        <w:drawing>
          <wp:inline distT="0" distB="0" distL="114300" distR="114300">
            <wp:extent cx="5334000" cy="7547610"/>
            <wp:effectExtent l="0" t="0" r="0" b="15240"/>
            <wp:docPr id="3" name="图片 3" descr="03-近期建设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近期建设规划"/>
                    <pic:cNvPicPr>
                      <a:picLocks noChangeAspect="1"/>
                    </pic:cNvPicPr>
                  </pic:nvPicPr>
                  <pic:blipFill>
                    <a:blip r:embed="rId6"/>
                    <a:stretch>
                      <a:fillRect/>
                    </a:stretch>
                  </pic:blipFill>
                  <pic:spPr>
                    <a:xfrm>
                      <a:off x="0" y="0"/>
                      <a:ext cx="5334000" cy="7547610"/>
                    </a:xfrm>
                    <a:prstGeom prst="rect">
                      <a:avLst/>
                    </a:prstGeom>
                  </pic:spPr>
                </pic:pic>
              </a:graphicData>
            </a:graphic>
          </wp:inline>
        </w:drawing>
      </w:r>
    </w:p>
    <w:p>
      <w:pPr>
        <w:ind w:firstLine="560" w:firstLineChars="200"/>
        <w:jc w:val="center"/>
        <w:rPr>
          <w:rFonts w:ascii="仿宋_GB2312" w:hAnsi="仿宋" w:eastAsia="仿宋_GB2312" w:cs="宋体"/>
          <w:kern w:val="0"/>
          <w:sz w:val="28"/>
          <w:szCs w:val="28"/>
        </w:rPr>
      </w:pPr>
      <w:r>
        <w:rPr>
          <w:rFonts w:hint="eastAsia" w:ascii="仿宋_GB2312" w:hAnsi="仿宋" w:eastAsia="仿宋_GB2312" w:cs="宋体"/>
          <w:kern w:val="0"/>
          <w:sz w:val="28"/>
          <w:szCs w:val="28"/>
        </w:rPr>
        <w:t>近期建设规划图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A00002EF" w:usb1="4000207B" w:usb2="00000000" w:usb3="00000000" w:csb0="2000009F" w:csb1="00000000"/>
  </w:font>
  <w:font w:name="Calibri Light">
    <w:altName w:val="Calibri"/>
    <w:panose1 w:val="00000000000000000000"/>
    <w:charset w:val="00"/>
    <w:family w:val="swiss"/>
    <w:pitch w:val="default"/>
    <w:sig w:usb0="00000000" w:usb1="00000000" w:usb2="00000000" w:usb3="00000000" w:csb0="0000019F" w:csb1="00000000"/>
  </w:font>
  <w:font w:name="仿宋_GB2312">
    <w:panose1 w:val="02010609030101010101"/>
    <w:charset w:val="86"/>
    <w:family w:val="modern"/>
    <w:pitch w:val="default"/>
    <w:sig w:usb0="00000001" w:usb1="080E0000" w:usb2="00000000" w:usb3="00000000" w:csb0="00040000" w:csb1="00000000"/>
  </w:font>
  <w:font w:name="仿宋">
    <w:altName w:val="宋体"/>
    <w:panose1 w:val="02010609060101010101"/>
    <w:charset w:val="86"/>
    <w:family w:val="modern"/>
    <w:pitch w:val="default"/>
    <w:sig w:usb0="00000000" w:usb1="00000000" w:usb2="00000016" w:usb3="00000000" w:csb0="00040001" w:csb1="00000000"/>
  </w:font>
  <w:font w:name="Arial">
    <w:panose1 w:val="020B0604020202020204"/>
    <w:charset w:val="00"/>
    <w:family w:val="swiss"/>
    <w:pitch w:val="default"/>
    <w:sig w:usb0="00007A87" w:usb1="80000000" w:usb2="00000008" w:usb3="00000000" w:csb0="400001FF" w:csb1="FFFF0000"/>
  </w:font>
  <w:font w:name="Tahoma">
    <w:panose1 w:val="020B0604030504040204"/>
    <w:charset w:val="00"/>
    <w:family w:val="swiss"/>
    <w:pitch w:val="default"/>
    <w:sig w:usb0="61007A87" w:usb1="80000000" w:usb2="00000008" w:usb3="00000000" w:csb0="200101FF" w:csb1="20280000"/>
  </w:font>
  <w:font w:name="Courier New">
    <w:panose1 w:val="02070309020205020404"/>
    <w:charset w:val="00"/>
    <w:family w:val="modern"/>
    <w:pitch w:val="default"/>
    <w:sig w:usb0="00007A87" w:usb1="80000000" w:usb2="00000008" w:usb3="00000000" w:csb0="400001FF" w:csb1="FFFF0000"/>
  </w:font>
  <w:font w:name="汉鼎繁圆新">
    <w:altName w:val="宋体"/>
    <w:panose1 w:val="02010609000101010101"/>
    <w:charset w:val="86"/>
    <w:family w:val="modern"/>
    <w:pitch w:val="default"/>
    <w:sig w:usb0="00000000" w:usb1="00000000" w:usb2="00000010" w:usb3="00000000" w:csb0="00040000" w:csb1="00000000"/>
  </w:font>
  <w:font w:name="Verdana">
    <w:panose1 w:val="020B0604030504040204"/>
    <w:charset w:val="00"/>
    <w:family w:val="swiss"/>
    <w:pitch w:val="default"/>
    <w:sig w:usb0="00000287" w:usb1="00000000" w:usb2="00000000" w:usb3="00000000" w:csb0="2000019F" w:csb1="00000000"/>
  </w:font>
  <w:font w:name="新宋体">
    <w:panose1 w:val="02010609030101010101"/>
    <w:charset w:val="86"/>
    <w:family w:val="modern"/>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57DF61"/>
    <w:multiLevelType w:val="singleLevel"/>
    <w:tmpl w:val="5B57DF61"/>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87FB3"/>
    <w:rsid w:val="00076806"/>
    <w:rsid w:val="002C4FC0"/>
    <w:rsid w:val="00505826"/>
    <w:rsid w:val="00A11A74"/>
    <w:rsid w:val="00AF259B"/>
    <w:rsid w:val="00BE2661"/>
    <w:rsid w:val="00BF1B55"/>
    <w:rsid w:val="00CA6F7B"/>
    <w:rsid w:val="00DA37B8"/>
    <w:rsid w:val="00E14F00"/>
    <w:rsid w:val="00F2113C"/>
    <w:rsid w:val="00F409BD"/>
    <w:rsid w:val="00F87FB3"/>
    <w:rsid w:val="15574B19"/>
    <w:rsid w:val="181B0B97"/>
    <w:rsid w:val="1D8333D4"/>
    <w:rsid w:val="258919B7"/>
    <w:rsid w:val="28E0619B"/>
    <w:rsid w:val="2CF939A1"/>
    <w:rsid w:val="2E4D1DDA"/>
    <w:rsid w:val="30D463C4"/>
    <w:rsid w:val="35E8612B"/>
    <w:rsid w:val="366A1D2F"/>
    <w:rsid w:val="3CB1758D"/>
    <w:rsid w:val="40DA38DD"/>
    <w:rsid w:val="46DD30E3"/>
    <w:rsid w:val="47F632B4"/>
    <w:rsid w:val="499D31D8"/>
    <w:rsid w:val="4B7B0414"/>
    <w:rsid w:val="51D51CF5"/>
    <w:rsid w:val="52442CA3"/>
    <w:rsid w:val="5780225F"/>
    <w:rsid w:val="698F6943"/>
    <w:rsid w:val="6C2E2FA2"/>
    <w:rsid w:val="760324F6"/>
    <w:rsid w:val="763B1B62"/>
    <w:rsid w:val="763E390E"/>
    <w:rsid w:val="76EC2FB1"/>
  </w:rsids>
  <m:mathPr>
    <m:lMargin m:val="0"/>
    <m:mathFont m:val="Cambria Math"/>
    <m:rMargin m:val="0"/>
    <m:wrapIndent m:val="1440"/>
    <m:brkBin m:val="before"/>
    <m:brkBinSub m:val="--"/>
    <m:defJc m:val="centerGroup"/>
    <m:intLim m:val="subSup"/>
    <m:naryLim m:val="undOvr"/>
    <m:smallFrac m:val=""/>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Arial" w:hAnsi="Arial" w:eastAsia="黑体"/>
      <w:b/>
      <w:bCs/>
      <w:sz w:val="32"/>
      <w:szCs w:val="32"/>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3">
    <w:name w:val="Document Map"/>
    <w:basedOn w:val="1"/>
    <w:link w:val="10"/>
    <w:unhideWhenUsed/>
    <w:qFormat/>
    <w:uiPriority w:val="99"/>
    <w:rPr>
      <w:rFonts w:ascii="宋体" w:eastAsia="宋体"/>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6"/>
    <w:link w:val="5"/>
    <w:qFormat/>
    <w:uiPriority w:val="99"/>
    <w:rPr>
      <w:sz w:val="18"/>
      <w:szCs w:val="18"/>
    </w:rPr>
  </w:style>
  <w:style w:type="character" w:customStyle="1" w:styleId="9">
    <w:name w:val="页脚 Char"/>
    <w:basedOn w:val="6"/>
    <w:link w:val="4"/>
    <w:qFormat/>
    <w:uiPriority w:val="99"/>
    <w:rPr>
      <w:sz w:val="18"/>
      <w:szCs w:val="18"/>
    </w:rPr>
  </w:style>
  <w:style w:type="character" w:customStyle="1" w:styleId="10">
    <w:name w:val="文档结构图 Char"/>
    <w:basedOn w:val="6"/>
    <w:link w:val="3"/>
    <w:semiHidden/>
    <w:uiPriority w:val="99"/>
    <w:rPr>
      <w:rFonts w:ascii="宋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168</Words>
  <Characters>961</Characters>
  <Lines>8</Lines>
  <Paragraphs>2</Paragraphs>
  <ScaleCrop>false</ScaleCrop>
  <LinksUpToDate>false</LinksUpToDate>
  <CharactersWithSpaces>1127</CharactersWithSpaces>
  <Application>WPS Office_10.1.0.5975_F1E327BC-269C-435d-A152-05C5408002CA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2017-06-26T00:57:00Z</dcterms:created>
  <dc:creator>Administrator</dc:creator>
  <cp:lastModifiedBy>PTGC</cp:lastModifiedBy>
  <dcterms:modified xsi:type="dcterms:W3CDTF">2018-07-27T03:02:24Z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