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0273B" w:rsidRDefault="0070273B">
      <w:pPr>
        <w:jc w:val="center"/>
        <w:rPr>
          <w:rFonts w:ascii="宋体" w:eastAsia="宋体" w:hAnsi="宋体" w:cs="Times New Roman"/>
          <w:b/>
          <w:bCs/>
          <w:sz w:val="32"/>
          <w:szCs w:val="32"/>
        </w:rPr>
      </w:pPr>
      <w:bookmarkStart w:id="0" w:name="_GoBack"/>
      <w:bookmarkEnd w:id="0"/>
      <w:r>
        <w:rPr>
          <w:rFonts w:ascii="宋体" w:eastAsia="宋体" w:hAnsi="宋体" w:cs="宋体" w:hint="eastAsia"/>
          <w:b/>
          <w:bCs/>
          <w:sz w:val="32"/>
          <w:szCs w:val="32"/>
        </w:rPr>
        <w:t>《平潭综合实验区建筑风貌控制导则》（修编版）</w:t>
      </w:r>
    </w:p>
    <w:p w:rsidR="0070273B" w:rsidRDefault="0070273B">
      <w:pPr>
        <w:jc w:val="center"/>
        <w:rPr>
          <w:rFonts w:ascii="宋体" w:eastAsia="宋体" w:hAnsi="宋体" w:cs="Times New Roman"/>
          <w:b/>
          <w:bCs/>
          <w:sz w:val="32"/>
          <w:szCs w:val="32"/>
        </w:rPr>
      </w:pPr>
      <w:r>
        <w:rPr>
          <w:rFonts w:ascii="宋体" w:eastAsia="宋体" w:hAnsi="宋体" w:cs="宋体" w:hint="eastAsia"/>
          <w:b/>
          <w:bCs/>
          <w:sz w:val="32"/>
          <w:szCs w:val="32"/>
        </w:rPr>
        <w:t>公示材料</w:t>
      </w:r>
    </w:p>
    <w:p w:rsidR="0070273B" w:rsidRDefault="0070273B">
      <w:pPr>
        <w:jc w:val="left"/>
        <w:rPr>
          <w:rFonts w:ascii="宋体" w:eastAsia="宋体" w:hAnsi="宋体" w:cs="Times New Roman"/>
          <w:b/>
          <w:bCs/>
          <w:sz w:val="30"/>
          <w:szCs w:val="30"/>
        </w:rPr>
      </w:pPr>
      <w:r>
        <w:rPr>
          <w:rFonts w:ascii="宋体" w:eastAsia="宋体" w:hAnsi="宋体" w:cs="宋体" w:hint="eastAsia"/>
          <w:b/>
          <w:bCs/>
          <w:sz w:val="30"/>
          <w:szCs w:val="30"/>
        </w:rPr>
        <w:t>一、规划范围</w:t>
      </w:r>
    </w:p>
    <w:p w:rsidR="0070273B" w:rsidRDefault="0070273B">
      <w:pPr>
        <w:ind w:firstLine="615"/>
        <w:rPr>
          <w:rFonts w:cs="Times New Roman"/>
          <w:sz w:val="28"/>
          <w:szCs w:val="28"/>
        </w:rPr>
      </w:pPr>
      <w:r>
        <w:rPr>
          <w:rFonts w:ascii="宋体" w:eastAsia="宋体" w:hAnsi="宋体" w:cs="宋体" w:hint="eastAsia"/>
          <w:sz w:val="28"/>
          <w:szCs w:val="28"/>
        </w:rPr>
        <w:t>平潭综合实验区所辖陆域面积，包括主岛与离岛共</w:t>
      </w:r>
      <w:r>
        <w:rPr>
          <w:rFonts w:ascii="宋体" w:eastAsia="宋体" w:hAnsi="宋体" w:cs="宋体"/>
          <w:sz w:val="28"/>
          <w:szCs w:val="28"/>
        </w:rPr>
        <w:t>392.92</w:t>
      </w:r>
      <w:r>
        <w:rPr>
          <w:rFonts w:ascii="宋体" w:eastAsia="宋体" w:hAnsi="宋体" w:cs="宋体" w:hint="eastAsia"/>
          <w:sz w:val="28"/>
          <w:szCs w:val="28"/>
        </w:rPr>
        <w:t>平方公里。本项目范围为其主岛，海坛岛，面积约</w:t>
      </w:r>
      <w:r>
        <w:rPr>
          <w:rFonts w:ascii="宋体" w:eastAsia="宋体" w:hAnsi="宋体" w:cs="宋体"/>
          <w:sz w:val="28"/>
          <w:szCs w:val="28"/>
        </w:rPr>
        <w:t>324.13</w:t>
      </w:r>
      <w:r>
        <w:rPr>
          <w:rFonts w:ascii="宋体" w:eastAsia="宋体" w:hAnsi="宋体" w:cs="宋体" w:hint="eastAsia"/>
          <w:sz w:val="28"/>
          <w:szCs w:val="28"/>
        </w:rPr>
        <w:t>平方公里。</w:t>
      </w:r>
    </w:p>
    <w:p w:rsidR="0070273B" w:rsidRDefault="0070273B">
      <w:pPr>
        <w:jc w:val="left"/>
        <w:rPr>
          <w:rFonts w:ascii="宋体" w:eastAsia="宋体" w:hAnsi="宋体" w:cs="Times New Roman"/>
          <w:b/>
          <w:bCs/>
          <w:sz w:val="30"/>
          <w:szCs w:val="30"/>
        </w:rPr>
      </w:pPr>
      <w:r>
        <w:rPr>
          <w:rFonts w:ascii="宋体" w:eastAsia="宋体" w:hAnsi="宋体" w:cs="宋体" w:hint="eastAsia"/>
          <w:b/>
          <w:bCs/>
          <w:sz w:val="30"/>
          <w:szCs w:val="30"/>
        </w:rPr>
        <w:t>二、功能定位</w:t>
      </w:r>
    </w:p>
    <w:p w:rsidR="0070273B" w:rsidRDefault="0070273B">
      <w:pPr>
        <w:ind w:firstLine="615"/>
        <w:jc w:val="left"/>
        <w:rPr>
          <w:rFonts w:ascii="宋体" w:eastAsia="宋体" w:hAnsi="宋体" w:cs="Times New Roman"/>
          <w:sz w:val="28"/>
          <w:szCs w:val="28"/>
        </w:rPr>
      </w:pPr>
      <w:r>
        <w:rPr>
          <w:rFonts w:ascii="宋体" w:eastAsia="宋体" w:hAnsi="宋体" w:cs="宋体" w:hint="eastAsia"/>
          <w:sz w:val="28"/>
          <w:szCs w:val="28"/>
        </w:rPr>
        <w:t>传承“真宝贝”，与文化内涵结合，凸显平潭独有的魅力特色，实现“石城炫彩，魅力岚风”</w:t>
      </w:r>
    </w:p>
    <w:p w:rsidR="0070273B" w:rsidRDefault="0070273B">
      <w:pPr>
        <w:ind w:firstLine="615"/>
        <w:jc w:val="left"/>
        <w:rPr>
          <w:rFonts w:ascii="宋体" w:eastAsia="宋体" w:hAnsi="宋体" w:cs="Times New Roman"/>
          <w:sz w:val="28"/>
          <w:szCs w:val="28"/>
        </w:rPr>
      </w:pPr>
      <w:r>
        <w:rPr>
          <w:rFonts w:ascii="宋体" w:eastAsia="宋体" w:hAnsi="宋体" w:cs="宋体" w:hint="eastAsia"/>
          <w:sz w:val="28"/>
          <w:szCs w:val="28"/>
        </w:rPr>
        <w:t>石城炫彩海中仙：石头城堡、色彩绚丽、山海景观协调</w:t>
      </w:r>
    </w:p>
    <w:p w:rsidR="0070273B" w:rsidRDefault="0070273B">
      <w:pPr>
        <w:ind w:firstLine="615"/>
        <w:jc w:val="left"/>
        <w:rPr>
          <w:rFonts w:ascii="宋体" w:eastAsia="宋体" w:hAnsi="宋体" w:cs="Times New Roman"/>
          <w:sz w:val="28"/>
          <w:szCs w:val="28"/>
        </w:rPr>
      </w:pPr>
      <w:r>
        <w:rPr>
          <w:rFonts w:ascii="宋体" w:eastAsia="宋体" w:hAnsi="宋体" w:cs="宋体" w:hint="eastAsia"/>
          <w:sz w:val="28"/>
          <w:szCs w:val="28"/>
        </w:rPr>
        <w:t>魅力岚风厝相连：特色岚风、深度挖掘、强化石厝建筑</w:t>
      </w:r>
    </w:p>
    <w:p w:rsidR="0070273B" w:rsidRDefault="0070273B">
      <w:pPr>
        <w:ind w:firstLine="615"/>
        <w:jc w:val="left"/>
        <w:rPr>
          <w:rFonts w:ascii="宋体" w:eastAsia="宋体" w:hAnsi="宋体" w:cs="Times New Roman"/>
          <w:sz w:val="28"/>
          <w:szCs w:val="28"/>
        </w:rPr>
      </w:pPr>
      <w:r>
        <w:rPr>
          <w:rFonts w:ascii="宋体" w:eastAsia="宋体" w:hAnsi="宋体" w:cs="宋体" w:hint="eastAsia"/>
          <w:sz w:val="28"/>
          <w:szCs w:val="28"/>
        </w:rPr>
        <w:t>传承千载今朝绽：凸显文化、现代演绎、新区继往开来</w:t>
      </w:r>
    </w:p>
    <w:p w:rsidR="0070273B" w:rsidRDefault="0070273B">
      <w:pPr>
        <w:ind w:firstLine="615"/>
        <w:jc w:val="left"/>
        <w:rPr>
          <w:rFonts w:ascii="宋体" w:eastAsia="宋体" w:hAnsi="宋体" w:cs="Times New Roman"/>
          <w:sz w:val="28"/>
          <w:szCs w:val="28"/>
        </w:rPr>
      </w:pPr>
      <w:r>
        <w:rPr>
          <w:rFonts w:ascii="宋体" w:eastAsia="宋体" w:hAnsi="宋体" w:cs="宋体" w:hint="eastAsia"/>
          <w:sz w:val="28"/>
          <w:szCs w:val="28"/>
        </w:rPr>
        <w:t>精品旅游海岛缘：海岛特色、精品旅游、打造国际名片</w:t>
      </w:r>
    </w:p>
    <w:p w:rsidR="0070273B" w:rsidRDefault="0070273B">
      <w:pPr>
        <w:jc w:val="left"/>
        <w:rPr>
          <w:rFonts w:ascii="宋体" w:eastAsia="宋体" w:hAnsi="宋体" w:cs="Times New Roman"/>
          <w:b/>
          <w:bCs/>
          <w:sz w:val="30"/>
          <w:szCs w:val="30"/>
        </w:rPr>
      </w:pPr>
      <w:r>
        <w:rPr>
          <w:rFonts w:ascii="宋体" w:eastAsia="宋体" w:hAnsi="宋体" w:cs="宋体" w:hint="eastAsia"/>
          <w:b/>
          <w:bCs/>
          <w:sz w:val="30"/>
          <w:szCs w:val="30"/>
        </w:rPr>
        <w:t>三、规划规模</w:t>
      </w:r>
    </w:p>
    <w:p w:rsidR="0070273B" w:rsidRDefault="0070273B">
      <w:pPr>
        <w:jc w:val="left"/>
        <w:rPr>
          <w:rFonts w:ascii="宋体" w:eastAsia="宋体" w:hAnsi="宋体" w:cs="Times New Roman"/>
          <w:sz w:val="28"/>
          <w:szCs w:val="28"/>
        </w:rPr>
      </w:pPr>
      <w:r>
        <w:rPr>
          <w:rFonts w:ascii="宋体" w:eastAsia="宋体" w:hAnsi="宋体" w:cs="宋体" w:hint="eastAsia"/>
          <w:sz w:val="28"/>
          <w:szCs w:val="28"/>
        </w:rPr>
        <w:t>海坛岛主岛，面积约</w:t>
      </w:r>
      <w:r>
        <w:rPr>
          <w:rFonts w:ascii="宋体" w:eastAsia="宋体" w:hAnsi="宋体" w:cs="宋体"/>
          <w:sz w:val="28"/>
          <w:szCs w:val="28"/>
        </w:rPr>
        <w:t>324.13</w:t>
      </w:r>
      <w:r>
        <w:rPr>
          <w:rFonts w:ascii="宋体" w:eastAsia="宋体" w:hAnsi="宋体" w:cs="宋体" w:hint="eastAsia"/>
          <w:sz w:val="28"/>
          <w:szCs w:val="28"/>
        </w:rPr>
        <w:t>平方公里。</w:t>
      </w:r>
    </w:p>
    <w:p w:rsidR="0070273B" w:rsidRDefault="0070273B">
      <w:pPr>
        <w:jc w:val="left"/>
        <w:rPr>
          <w:rFonts w:ascii="宋体" w:eastAsia="宋体" w:hAnsi="宋体" w:cs="Times New Roman"/>
          <w:b/>
          <w:bCs/>
          <w:sz w:val="30"/>
          <w:szCs w:val="30"/>
        </w:rPr>
      </w:pPr>
      <w:r>
        <w:rPr>
          <w:rFonts w:ascii="宋体" w:eastAsia="宋体" w:hAnsi="宋体" w:cs="宋体" w:hint="eastAsia"/>
          <w:b/>
          <w:bCs/>
          <w:sz w:val="30"/>
          <w:szCs w:val="30"/>
        </w:rPr>
        <w:t>四、主要规划内容</w:t>
      </w:r>
    </w:p>
    <w:p w:rsidR="0070273B" w:rsidRDefault="0070273B">
      <w:pPr>
        <w:ind w:firstLine="615"/>
        <w:jc w:val="left"/>
        <w:rPr>
          <w:rFonts w:ascii="宋体" w:eastAsia="宋体" w:hAnsi="宋体" w:cs="Times New Roman"/>
          <w:sz w:val="28"/>
          <w:szCs w:val="28"/>
        </w:rPr>
      </w:pPr>
      <w:r>
        <w:rPr>
          <w:rFonts w:ascii="宋体" w:eastAsia="宋体" w:hAnsi="宋体" w:cs="宋体" w:hint="eastAsia"/>
          <w:sz w:val="28"/>
          <w:szCs w:val="28"/>
        </w:rPr>
        <w:t>旨在构建科学的风貌管控体系，通过“分区、分级、分类”的风貌管控体系，以平潭总体规划功能分区、现状风貌发展势头、历史文物村落分布、景观风貌总体规划为划分依据，结合平潭实际情况，将平潭岛划分为以下七大风貌分区：</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古岚石记</w:t>
      </w:r>
      <w:r>
        <w:rPr>
          <w:rFonts w:ascii="宋体" w:eastAsia="宋体" w:hAnsi="宋体" w:cs="宋体"/>
          <w:sz w:val="28"/>
          <w:szCs w:val="28"/>
        </w:rPr>
        <w:t xml:space="preserve"> – </w:t>
      </w:r>
      <w:r>
        <w:rPr>
          <w:rFonts w:ascii="宋体" w:eastAsia="宋体" w:hAnsi="宋体" w:cs="宋体" w:hint="eastAsia"/>
          <w:sz w:val="28"/>
          <w:szCs w:val="28"/>
        </w:rPr>
        <w:t>平潭之源风貌区（展现平潭历史源头与独特地方民居建筑的传统特色风貌区）；</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渔村石厝</w:t>
      </w:r>
      <w:r>
        <w:rPr>
          <w:rFonts w:ascii="宋体" w:eastAsia="宋体" w:hAnsi="宋体" w:cs="宋体"/>
          <w:sz w:val="28"/>
          <w:szCs w:val="28"/>
        </w:rPr>
        <w:t xml:space="preserve"> – </w:t>
      </w:r>
      <w:r>
        <w:rPr>
          <w:rFonts w:ascii="宋体" w:eastAsia="宋体" w:hAnsi="宋体" w:cs="宋体" w:hint="eastAsia"/>
          <w:sz w:val="28"/>
          <w:szCs w:val="28"/>
        </w:rPr>
        <w:t>村落文化风貌区（展现平潭独有石头厝民居的村落特色风貌区）；</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山海石语</w:t>
      </w:r>
      <w:r>
        <w:rPr>
          <w:rFonts w:ascii="宋体" w:eastAsia="宋体" w:hAnsi="宋体" w:cs="宋体"/>
          <w:sz w:val="28"/>
          <w:szCs w:val="28"/>
        </w:rPr>
        <w:t>–</w:t>
      </w:r>
      <w:r>
        <w:rPr>
          <w:rFonts w:ascii="宋体" w:eastAsia="宋体" w:hAnsi="宋体" w:cs="宋体" w:hint="eastAsia"/>
          <w:sz w:val="28"/>
          <w:szCs w:val="28"/>
        </w:rPr>
        <w:t>景观休闲风貌区（展现滨海旅游度假风情的特色滨海休闲风貌区以及独特的侵蚀花岗岩及海积平原、山海景观风貌）；</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闽越石境</w:t>
      </w:r>
      <w:r>
        <w:rPr>
          <w:rFonts w:ascii="宋体" w:eastAsia="宋体" w:hAnsi="宋体" w:cs="宋体"/>
          <w:sz w:val="28"/>
          <w:szCs w:val="28"/>
        </w:rPr>
        <w:t xml:space="preserve">– </w:t>
      </w:r>
      <w:r>
        <w:rPr>
          <w:rFonts w:ascii="宋体" w:eastAsia="宋体" w:hAnsi="宋体" w:cs="宋体" w:hint="eastAsia"/>
          <w:sz w:val="28"/>
          <w:szCs w:val="28"/>
        </w:rPr>
        <w:t>澳前窗口风貌区（基于闽越传统红砖大厝，融合现代设计手法的地方特色风貌类型）；</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新城石韵</w:t>
      </w:r>
      <w:r>
        <w:rPr>
          <w:rFonts w:ascii="宋体" w:eastAsia="宋体" w:hAnsi="宋体" w:cs="宋体"/>
          <w:sz w:val="28"/>
          <w:szCs w:val="28"/>
        </w:rPr>
        <w:t xml:space="preserve"> – </w:t>
      </w:r>
      <w:r>
        <w:rPr>
          <w:rFonts w:ascii="宋体" w:eastAsia="宋体" w:hAnsi="宋体" w:cs="宋体" w:hint="eastAsia"/>
          <w:sz w:val="28"/>
          <w:szCs w:val="28"/>
        </w:rPr>
        <w:t>综合都市风貌区（展现综合都市办公区魅力形象的特色城市风貌类型）；</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西洋石堡</w:t>
      </w:r>
      <w:r>
        <w:rPr>
          <w:rFonts w:ascii="宋体" w:eastAsia="宋体" w:hAnsi="宋体" w:cs="宋体"/>
          <w:sz w:val="28"/>
          <w:szCs w:val="28"/>
        </w:rPr>
        <w:t xml:space="preserve"> – </w:t>
      </w:r>
      <w:r>
        <w:rPr>
          <w:rFonts w:ascii="宋体" w:eastAsia="宋体" w:hAnsi="宋体" w:cs="宋体" w:hint="eastAsia"/>
          <w:sz w:val="28"/>
          <w:szCs w:val="28"/>
        </w:rPr>
        <w:t>潭城欧韵风貌区（展现欧洲小镇式的特色人性化街区风貌）；</w:t>
      </w:r>
    </w:p>
    <w:p w:rsidR="0070273B" w:rsidRDefault="0070273B">
      <w:pPr>
        <w:pStyle w:val="ListParagraph"/>
        <w:numPr>
          <w:ilvl w:val="0"/>
          <w:numId w:val="1"/>
        </w:numPr>
        <w:ind w:firstLineChars="0"/>
        <w:jc w:val="left"/>
        <w:rPr>
          <w:rFonts w:ascii="宋体" w:eastAsia="宋体" w:hAnsi="宋体" w:cs="Times New Roman"/>
          <w:sz w:val="28"/>
          <w:szCs w:val="28"/>
        </w:rPr>
      </w:pPr>
      <w:r>
        <w:rPr>
          <w:rFonts w:ascii="宋体" w:eastAsia="宋体" w:hAnsi="宋体" w:cs="宋体" w:hint="eastAsia"/>
          <w:sz w:val="28"/>
          <w:szCs w:val="28"/>
        </w:rPr>
        <w:t>时尚岚岛</w:t>
      </w:r>
      <w:r>
        <w:rPr>
          <w:rFonts w:ascii="宋体" w:eastAsia="宋体" w:hAnsi="宋体" w:cs="宋体"/>
          <w:sz w:val="28"/>
          <w:szCs w:val="28"/>
        </w:rPr>
        <w:t>–</w:t>
      </w:r>
      <w:r>
        <w:rPr>
          <w:rFonts w:ascii="宋体" w:eastAsia="宋体" w:hAnsi="宋体" w:cs="宋体" w:hint="eastAsia"/>
          <w:sz w:val="28"/>
          <w:szCs w:val="28"/>
        </w:rPr>
        <w:t>岚岛创新新风貌（展现当今岚岛迎接未来创新建筑特色风貌）。</w:t>
      </w:r>
    </w:p>
    <w:p w:rsidR="0070273B" w:rsidRPr="009A44EE" w:rsidRDefault="0070273B" w:rsidP="009A44EE">
      <w:pPr>
        <w:pStyle w:val="NormalWeb"/>
        <w:shd w:val="clear" w:color="auto" w:fill="FFFFFF"/>
        <w:spacing w:before="156" w:beforeAutospacing="0" w:after="156" w:afterAutospacing="0" w:line="400" w:lineRule="exact"/>
        <w:ind w:left="420" w:hanging="420"/>
        <w:outlineLvl w:val="0"/>
        <w:rPr>
          <w:rFonts w:cs="Times New Roman"/>
          <w:kern w:val="2"/>
          <w:sz w:val="28"/>
          <w:szCs w:val="28"/>
        </w:rPr>
      </w:pPr>
      <w:r w:rsidRPr="009A44EE">
        <w:rPr>
          <w:rFonts w:hint="eastAsia"/>
          <w:kern w:val="2"/>
          <w:sz w:val="28"/>
          <w:szCs w:val="28"/>
        </w:rPr>
        <w:t>六、主要规划图纸</w:t>
      </w:r>
    </w:p>
    <w:p w:rsidR="0070273B" w:rsidRPr="009A44EE" w:rsidRDefault="0070273B" w:rsidP="009A44EE">
      <w:pPr>
        <w:adjustRightInd w:val="0"/>
        <w:snapToGrid w:val="0"/>
        <w:spacing w:line="400" w:lineRule="exact"/>
        <w:ind w:firstLineChars="200" w:firstLine="31680"/>
        <w:rPr>
          <w:rFonts w:ascii="宋体" w:eastAsia="宋体" w:hAnsi="宋体" w:cs="Times New Roman"/>
          <w:sz w:val="28"/>
          <w:szCs w:val="28"/>
        </w:rPr>
      </w:pPr>
      <w:r w:rsidRPr="009A44EE">
        <w:rPr>
          <w:rFonts w:ascii="宋体" w:eastAsia="宋体" w:hAnsi="宋体" w:cs="宋体" w:hint="eastAsia"/>
          <w:sz w:val="28"/>
          <w:szCs w:val="28"/>
        </w:rPr>
        <w:t>主要规划图纸有</w:t>
      </w:r>
      <w:r w:rsidRPr="009A44EE">
        <w:rPr>
          <w:rFonts w:ascii="宋体" w:eastAsia="宋体" w:hAnsi="宋体" w:cs="宋体"/>
          <w:sz w:val="28"/>
          <w:szCs w:val="28"/>
        </w:rPr>
        <w:t>01</w:t>
      </w:r>
      <w:r w:rsidRPr="009A44EE">
        <w:rPr>
          <w:rFonts w:ascii="宋体" w:eastAsia="宋体" w:hAnsi="宋体" w:cs="宋体" w:hint="eastAsia"/>
          <w:sz w:val="28"/>
          <w:szCs w:val="28"/>
        </w:rPr>
        <w:t>风貌控制分区导则总图、</w:t>
      </w:r>
      <w:r w:rsidRPr="009A44EE">
        <w:rPr>
          <w:rFonts w:ascii="宋体" w:eastAsia="宋体" w:hAnsi="宋体" w:cs="宋体"/>
          <w:sz w:val="28"/>
          <w:szCs w:val="28"/>
        </w:rPr>
        <w:t>02</w:t>
      </w:r>
      <w:r w:rsidRPr="009A44EE">
        <w:rPr>
          <w:rFonts w:ascii="宋体" w:eastAsia="宋体" w:hAnsi="宋体" w:cs="宋体" w:hint="eastAsia"/>
          <w:sz w:val="28"/>
          <w:szCs w:val="28"/>
        </w:rPr>
        <w:t>色彩控制导则总图、</w:t>
      </w:r>
      <w:r w:rsidRPr="009A44EE">
        <w:rPr>
          <w:rFonts w:ascii="宋体" w:eastAsia="宋体" w:hAnsi="宋体" w:cs="宋体"/>
          <w:sz w:val="28"/>
          <w:szCs w:val="28"/>
        </w:rPr>
        <w:t>03</w:t>
      </w:r>
      <w:r w:rsidRPr="009A44EE">
        <w:rPr>
          <w:rFonts w:ascii="宋体" w:eastAsia="宋体" w:hAnsi="宋体" w:cs="宋体" w:hint="eastAsia"/>
          <w:sz w:val="28"/>
          <w:szCs w:val="28"/>
        </w:rPr>
        <w:t>立面色彩模拟图、</w:t>
      </w:r>
      <w:r w:rsidRPr="009A44EE">
        <w:rPr>
          <w:rFonts w:ascii="宋体" w:eastAsia="宋体" w:hAnsi="宋体" w:cs="宋体"/>
          <w:sz w:val="28"/>
          <w:szCs w:val="28"/>
        </w:rPr>
        <w:t>04</w:t>
      </w:r>
      <w:r w:rsidRPr="009A44EE">
        <w:rPr>
          <w:rFonts w:ascii="宋体" w:eastAsia="宋体" w:hAnsi="宋体" w:cs="宋体" w:hint="eastAsia"/>
          <w:sz w:val="28"/>
          <w:szCs w:val="28"/>
        </w:rPr>
        <w:t>风格控制导则总表（</w:t>
      </w:r>
      <w:r w:rsidRPr="009A44EE">
        <w:rPr>
          <w:rFonts w:ascii="宋体" w:eastAsia="宋体" w:hAnsi="宋体" w:cs="宋体"/>
          <w:sz w:val="28"/>
          <w:szCs w:val="28"/>
        </w:rPr>
        <w:t>1</w:t>
      </w:r>
      <w:r w:rsidRPr="009A44EE">
        <w:rPr>
          <w:rFonts w:ascii="宋体" w:eastAsia="宋体" w:hAnsi="宋体" w:cs="宋体" w:hint="eastAsia"/>
          <w:sz w:val="28"/>
          <w:szCs w:val="28"/>
        </w:rPr>
        <w:t>）、风格控制导则总表（</w:t>
      </w:r>
      <w:r w:rsidRPr="009A44EE">
        <w:rPr>
          <w:rFonts w:ascii="宋体" w:eastAsia="宋体" w:hAnsi="宋体" w:cs="宋体"/>
          <w:sz w:val="28"/>
          <w:szCs w:val="28"/>
        </w:rPr>
        <w:t>2</w:t>
      </w:r>
      <w:r w:rsidRPr="009A44EE">
        <w:rPr>
          <w:rFonts w:ascii="宋体" w:eastAsia="宋体" w:hAnsi="宋体" w:cs="宋体" w:hint="eastAsia"/>
          <w:sz w:val="28"/>
          <w:szCs w:val="28"/>
        </w:rPr>
        <w:t>）。</w:t>
      </w:r>
    </w:p>
    <w:p w:rsidR="0070273B" w:rsidRPr="009A44EE" w:rsidRDefault="0070273B" w:rsidP="009A44EE">
      <w:pPr>
        <w:adjustRightInd w:val="0"/>
        <w:snapToGrid w:val="0"/>
        <w:spacing w:line="400" w:lineRule="exact"/>
        <w:ind w:firstLineChars="200" w:firstLine="31680"/>
        <w:rPr>
          <w:rFonts w:ascii="宋体" w:eastAsia="宋体" w:hAnsi="宋体" w:cs="Times New Roman"/>
          <w:sz w:val="28"/>
          <w:szCs w:val="28"/>
        </w:rPr>
      </w:pPr>
    </w:p>
    <w:p w:rsidR="0070273B" w:rsidRPr="009A44EE" w:rsidRDefault="0070273B">
      <w:pPr>
        <w:pStyle w:val="ListParagraph"/>
        <w:ind w:left="1035" w:firstLineChars="0" w:firstLine="0"/>
        <w:jc w:val="left"/>
        <w:rPr>
          <w:rFonts w:ascii="宋体" w:eastAsia="宋体" w:hAnsi="宋体" w:cs="Times New Roman"/>
          <w:sz w:val="30"/>
          <w:szCs w:val="30"/>
        </w:rPr>
      </w:pPr>
    </w:p>
    <w:p w:rsidR="0070273B" w:rsidRDefault="0070273B">
      <w:pPr>
        <w:pStyle w:val="ListParagraph"/>
        <w:ind w:left="1035" w:firstLineChars="0" w:firstLine="0"/>
        <w:jc w:val="left"/>
        <w:rPr>
          <w:rFonts w:ascii="宋体" w:eastAsia="宋体" w:hAnsi="宋体" w:cs="Times New Roman"/>
          <w:sz w:val="30"/>
          <w:szCs w:val="30"/>
        </w:rPr>
      </w:pPr>
    </w:p>
    <w:p w:rsidR="0070273B" w:rsidRDefault="0070273B">
      <w:pPr>
        <w:pStyle w:val="ListParagraph"/>
        <w:ind w:left="1035" w:firstLineChars="0" w:firstLine="0"/>
        <w:jc w:val="left"/>
        <w:rPr>
          <w:rFonts w:ascii="宋体" w:eastAsia="宋体" w:hAnsi="宋体" w:cs="Times New Roman"/>
          <w:sz w:val="30"/>
          <w:szCs w:val="30"/>
        </w:rPr>
      </w:pPr>
    </w:p>
    <w:p w:rsidR="0070273B" w:rsidRDefault="0070273B">
      <w:pPr>
        <w:pStyle w:val="ListParagraph"/>
        <w:ind w:left="1035" w:firstLineChars="0" w:firstLine="0"/>
        <w:jc w:val="left"/>
        <w:rPr>
          <w:rFonts w:ascii="宋体" w:eastAsia="宋体" w:hAnsi="宋体" w:cs="Times New Roman"/>
          <w:sz w:val="30"/>
          <w:szCs w:val="30"/>
        </w:rPr>
      </w:pPr>
    </w:p>
    <w:p w:rsidR="0070273B" w:rsidRDefault="0070273B">
      <w:pPr>
        <w:pStyle w:val="ListParagraph"/>
        <w:ind w:left="1035" w:firstLineChars="0" w:firstLine="0"/>
        <w:jc w:val="left"/>
        <w:rPr>
          <w:rFonts w:ascii="宋体" w:eastAsia="宋体" w:hAnsi="宋体" w:cs="Times New Roman"/>
          <w:sz w:val="30"/>
          <w:szCs w:val="30"/>
        </w:rPr>
      </w:pPr>
    </w:p>
    <w:p w:rsidR="0070273B" w:rsidRDefault="0070273B" w:rsidP="009A44EE">
      <w:pPr>
        <w:pStyle w:val="ListParagraph"/>
        <w:ind w:firstLineChars="0" w:firstLine="0"/>
        <w:jc w:val="left"/>
        <w:rPr>
          <w:rFonts w:ascii="宋体" w:eastAsia="宋体" w:hAnsi="宋体" w:cs="Times New Roman"/>
          <w:sz w:val="30"/>
          <w:szCs w:val="30"/>
        </w:rPr>
      </w:pPr>
    </w:p>
    <w:sectPr w:rsidR="0070273B" w:rsidSect="00EB158E">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等线">
    <w:altName w:val="宋体"/>
    <w:panose1 w:val="00000000000000000000"/>
    <w:charset w:val="86"/>
    <w:family w:val="auto"/>
    <w:notTrueType/>
    <w:pitch w:val="default"/>
    <w:sig w:usb0="00000001" w:usb1="080E0000" w:usb2="00000010" w:usb3="00000000" w:csb0="00040000" w:csb1="00000000"/>
  </w:font>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4BA0E8C"/>
    <w:multiLevelType w:val="multilevel"/>
    <w:tmpl w:val="34BA0E8C"/>
    <w:lvl w:ilvl="0">
      <w:start w:val="1"/>
      <w:numFmt w:val="decimal"/>
      <w:lvlText w:val="%1."/>
      <w:lvlJc w:val="left"/>
      <w:pPr>
        <w:ind w:left="1035" w:hanging="420"/>
      </w:pPr>
    </w:lvl>
    <w:lvl w:ilvl="1">
      <w:start w:val="1"/>
      <w:numFmt w:val="lowerLetter"/>
      <w:lvlText w:val="%2)"/>
      <w:lvlJc w:val="left"/>
      <w:pPr>
        <w:ind w:left="1455" w:hanging="420"/>
      </w:pPr>
    </w:lvl>
    <w:lvl w:ilvl="2">
      <w:start w:val="1"/>
      <w:numFmt w:val="lowerRoman"/>
      <w:lvlText w:val="%3."/>
      <w:lvlJc w:val="right"/>
      <w:pPr>
        <w:ind w:left="1875" w:hanging="420"/>
      </w:pPr>
    </w:lvl>
    <w:lvl w:ilvl="3">
      <w:start w:val="1"/>
      <w:numFmt w:val="decimal"/>
      <w:lvlText w:val="%4."/>
      <w:lvlJc w:val="left"/>
      <w:pPr>
        <w:ind w:left="2295" w:hanging="420"/>
      </w:pPr>
    </w:lvl>
    <w:lvl w:ilvl="4">
      <w:start w:val="1"/>
      <w:numFmt w:val="lowerLetter"/>
      <w:lvlText w:val="%5)"/>
      <w:lvlJc w:val="left"/>
      <w:pPr>
        <w:ind w:left="2715" w:hanging="420"/>
      </w:pPr>
    </w:lvl>
    <w:lvl w:ilvl="5">
      <w:start w:val="1"/>
      <w:numFmt w:val="lowerRoman"/>
      <w:lvlText w:val="%6."/>
      <w:lvlJc w:val="right"/>
      <w:pPr>
        <w:ind w:left="3135" w:hanging="420"/>
      </w:pPr>
    </w:lvl>
    <w:lvl w:ilvl="6">
      <w:start w:val="1"/>
      <w:numFmt w:val="decimal"/>
      <w:lvlText w:val="%7."/>
      <w:lvlJc w:val="left"/>
      <w:pPr>
        <w:ind w:left="3555" w:hanging="420"/>
      </w:pPr>
    </w:lvl>
    <w:lvl w:ilvl="7">
      <w:start w:val="1"/>
      <w:numFmt w:val="lowerLetter"/>
      <w:lvlText w:val="%8)"/>
      <w:lvlJc w:val="left"/>
      <w:pPr>
        <w:ind w:left="3975" w:hanging="420"/>
      </w:pPr>
    </w:lvl>
    <w:lvl w:ilvl="8">
      <w:start w:val="1"/>
      <w:numFmt w:val="lowerRoman"/>
      <w:lvlText w:val="%9."/>
      <w:lvlJc w:val="right"/>
      <w:pPr>
        <w:ind w:left="4395"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embedSystemFonts/>
  <w:bordersDoNotSurroundHeader/>
  <w:bordersDoNotSurroundFooter/>
  <w:defaultTabStop w:val="420"/>
  <w:doNotHyphenateCaps/>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4521C"/>
    <w:rsid w:val="00027EAD"/>
    <w:rsid w:val="000D76E6"/>
    <w:rsid w:val="00162AD3"/>
    <w:rsid w:val="001968C9"/>
    <w:rsid w:val="00230A89"/>
    <w:rsid w:val="00243C27"/>
    <w:rsid w:val="00301EAA"/>
    <w:rsid w:val="00425E3C"/>
    <w:rsid w:val="00486B83"/>
    <w:rsid w:val="0054521C"/>
    <w:rsid w:val="005C0801"/>
    <w:rsid w:val="0070273B"/>
    <w:rsid w:val="007B7D2C"/>
    <w:rsid w:val="0080299A"/>
    <w:rsid w:val="00855298"/>
    <w:rsid w:val="009A44EE"/>
    <w:rsid w:val="00AA4DDE"/>
    <w:rsid w:val="00AE12EE"/>
    <w:rsid w:val="00B51B7C"/>
    <w:rsid w:val="00B97701"/>
    <w:rsid w:val="00C05CBA"/>
    <w:rsid w:val="00C8228D"/>
    <w:rsid w:val="00D04945"/>
    <w:rsid w:val="00D348B9"/>
    <w:rsid w:val="00DB2260"/>
    <w:rsid w:val="00EB158E"/>
    <w:rsid w:val="00EC1865"/>
    <w:rsid w:val="00EE0D75"/>
    <w:rsid w:val="00F00B74"/>
    <w:rsid w:val="00F70A36"/>
    <w:rsid w:val="00F846AC"/>
    <w:rsid w:val="00FD4DFC"/>
    <w:rsid w:val="34F80480"/>
  </w:rsids>
  <m:mathPr>
    <m:mathFont m:val="Cambria Math"/>
    <m:brkBin m:val="before"/>
    <m:brkBinSub m:val="--"/>
    <m:smallFrac m:val="off"/>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等线" w:eastAsia="等线" w:hAnsi="等线"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Table" w:locked="1" w:semiHidden="0" w:uiPriority="0" w:unhideWhenUsed="0"/>
    <w:lsdException w:name="Balloon Text" w:locked="1" w:semiHidden="0" w:uiPriority="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B158E"/>
    <w:pPr>
      <w:widowControl w:val="0"/>
      <w:jc w:val="both"/>
    </w:pPr>
    <w:rPr>
      <w:rFonts w:cs="等线"/>
      <w:szCs w:val="21"/>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rsid w:val="00EB158E"/>
    <w:rPr>
      <w:sz w:val="18"/>
      <w:szCs w:val="18"/>
    </w:rPr>
  </w:style>
  <w:style w:type="character" w:customStyle="1" w:styleId="BalloonTextChar">
    <w:name w:val="Balloon Text Char"/>
    <w:basedOn w:val="DefaultParagraphFont"/>
    <w:link w:val="BalloonText"/>
    <w:uiPriority w:val="99"/>
    <w:semiHidden/>
    <w:locked/>
    <w:rsid w:val="00EB158E"/>
    <w:rPr>
      <w:sz w:val="18"/>
      <w:szCs w:val="18"/>
    </w:rPr>
  </w:style>
  <w:style w:type="paragraph" w:styleId="Footer">
    <w:name w:val="footer"/>
    <w:basedOn w:val="Normal"/>
    <w:link w:val="FooterChar"/>
    <w:uiPriority w:val="99"/>
    <w:semiHidden/>
    <w:rsid w:val="00EB158E"/>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locked/>
    <w:rsid w:val="00EB158E"/>
    <w:rPr>
      <w:sz w:val="18"/>
      <w:szCs w:val="18"/>
    </w:rPr>
  </w:style>
  <w:style w:type="paragraph" w:styleId="Header">
    <w:name w:val="header"/>
    <w:basedOn w:val="Normal"/>
    <w:link w:val="HeaderChar"/>
    <w:uiPriority w:val="99"/>
    <w:semiHidden/>
    <w:rsid w:val="00EB158E"/>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locked/>
    <w:rsid w:val="00EB158E"/>
    <w:rPr>
      <w:sz w:val="18"/>
      <w:szCs w:val="18"/>
    </w:rPr>
  </w:style>
  <w:style w:type="paragraph" w:styleId="NormalWeb">
    <w:name w:val="Normal (Web)"/>
    <w:basedOn w:val="Normal"/>
    <w:uiPriority w:val="99"/>
    <w:semiHidden/>
    <w:rsid w:val="00EB158E"/>
    <w:pPr>
      <w:widowControl/>
      <w:spacing w:before="100" w:beforeAutospacing="1" w:after="100" w:afterAutospacing="1"/>
      <w:jc w:val="left"/>
    </w:pPr>
    <w:rPr>
      <w:rFonts w:ascii="宋体" w:eastAsia="宋体" w:hAnsi="宋体" w:cs="宋体"/>
      <w:kern w:val="0"/>
      <w:sz w:val="24"/>
      <w:szCs w:val="24"/>
    </w:rPr>
  </w:style>
  <w:style w:type="paragraph" w:styleId="ListParagraph">
    <w:name w:val="List Paragraph"/>
    <w:basedOn w:val="Normal"/>
    <w:uiPriority w:val="99"/>
    <w:qFormat/>
    <w:rsid w:val="00EB158E"/>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209</TotalTime>
  <Pages>2</Pages>
  <Words>113</Words>
  <Characters>650</Characters>
  <Application>Microsoft Office Outlook</Application>
  <DocSecurity>0</DocSecurity>
  <Lines>0</Lines>
  <Paragraphs>0</Paragraphs>
  <ScaleCrop>false</ScaleCrop>
  <Company>Microsoft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郭恩彬</cp:lastModifiedBy>
  <cp:revision>16</cp:revision>
  <dcterms:created xsi:type="dcterms:W3CDTF">2018-08-07T06:41:00Z</dcterms:created>
  <dcterms:modified xsi:type="dcterms:W3CDTF">2018-08-08T09:24:00Z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2052-10.1.0.7468</vt:lpwstr>
  </property>
</Properties>
</file>