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lang w:eastAsia="zh-CN"/>
        </w:rPr>
      </w:pPr>
      <w:r>
        <w:rPr>
          <w:rFonts w:hint="eastAsia"/>
          <w:lang w:eastAsia="zh-CN"/>
        </w:rPr>
        <w:t>《平潭综合实验区石头厝保护专项规划》</w:t>
      </w:r>
    </w:p>
    <w:p>
      <w:pPr>
        <w:pStyle w:val="2"/>
        <w:jc w:val="center"/>
        <w:rPr>
          <w:rFonts w:hint="eastAsia"/>
        </w:rPr>
      </w:pPr>
      <w:r>
        <w:rPr>
          <w:rFonts w:hint="eastAsia"/>
        </w:rPr>
        <w:t>公示材料</w:t>
      </w:r>
    </w:p>
    <w:p>
      <w:pPr>
        <w:jc w:val="left"/>
        <w:rPr>
          <w:rFonts w:ascii="宋体" w:hAnsi="宋体" w:eastAsia="宋体"/>
          <w:b/>
          <w:sz w:val="30"/>
          <w:szCs w:val="30"/>
        </w:rPr>
      </w:pPr>
      <w:r>
        <w:rPr>
          <w:rFonts w:hint="eastAsia" w:ascii="宋体" w:hAnsi="宋体" w:eastAsia="宋体"/>
          <w:b/>
          <w:sz w:val="30"/>
          <w:szCs w:val="30"/>
        </w:rPr>
        <w:t>一、规划范围</w:t>
      </w:r>
    </w:p>
    <w:p>
      <w:pPr>
        <w:ind w:firstLine="615"/>
        <w:rPr>
          <w:rFonts w:hint="eastAsia" w:ascii="宋体" w:hAnsi="宋体" w:eastAsia="宋体"/>
          <w:sz w:val="30"/>
          <w:szCs w:val="30"/>
          <w:lang w:val="en-US" w:eastAsia="zh-CN"/>
        </w:rPr>
      </w:pPr>
      <w:r>
        <w:rPr>
          <w:rFonts w:hint="eastAsia" w:ascii="宋体" w:hAnsi="宋体" w:eastAsia="宋体"/>
          <w:sz w:val="30"/>
          <w:szCs w:val="30"/>
        </w:rPr>
        <w:t>平潭综合实验区</w:t>
      </w:r>
      <w:r>
        <w:rPr>
          <w:rFonts w:hint="eastAsia" w:ascii="宋体" w:hAnsi="宋体" w:eastAsia="宋体"/>
          <w:sz w:val="30"/>
          <w:szCs w:val="30"/>
          <w:lang w:eastAsia="zh-CN"/>
        </w:rPr>
        <w:t>全区除城市规划建成区外约</w:t>
      </w:r>
      <w:r>
        <w:rPr>
          <w:rFonts w:hint="eastAsia" w:ascii="宋体" w:hAnsi="宋体" w:eastAsia="宋体"/>
          <w:sz w:val="30"/>
          <w:szCs w:val="30"/>
          <w:lang w:val="en-US" w:eastAsia="zh-CN"/>
        </w:rPr>
        <w:t>207平方公里的村庄，涉及14个乡镇，153个行政村，1个国有渔场；其中主岛119个，外围离岛35个。</w:t>
      </w:r>
    </w:p>
    <w:p>
      <w:pPr>
        <w:jc w:val="left"/>
        <w:rPr>
          <w:rFonts w:hint="eastAsia" w:ascii="宋体" w:hAnsi="宋体" w:eastAsia="宋体"/>
          <w:b/>
          <w:sz w:val="30"/>
          <w:szCs w:val="30"/>
          <w:lang w:eastAsia="zh-CN"/>
        </w:rPr>
      </w:pPr>
      <w:r>
        <w:rPr>
          <w:rFonts w:hint="eastAsia" w:ascii="宋体" w:hAnsi="宋体" w:eastAsia="宋体"/>
          <w:b/>
          <w:sz w:val="30"/>
          <w:szCs w:val="30"/>
          <w:lang w:eastAsia="zh-CN"/>
        </w:rPr>
        <w:t>二</w:t>
      </w:r>
      <w:r>
        <w:rPr>
          <w:rFonts w:hint="eastAsia" w:ascii="宋体" w:hAnsi="宋体" w:eastAsia="宋体"/>
          <w:b/>
          <w:sz w:val="30"/>
          <w:szCs w:val="30"/>
        </w:rPr>
        <w:t>：规划</w:t>
      </w:r>
      <w:r>
        <w:rPr>
          <w:rFonts w:hint="eastAsia" w:ascii="宋体" w:hAnsi="宋体" w:eastAsia="宋体"/>
          <w:b/>
          <w:sz w:val="30"/>
          <w:szCs w:val="30"/>
          <w:lang w:eastAsia="zh-CN"/>
        </w:rPr>
        <w:t>期限</w:t>
      </w:r>
    </w:p>
    <w:p>
      <w:pPr>
        <w:jc w:val="left"/>
        <w:rPr>
          <w:rFonts w:hint="eastAsia" w:ascii="宋体" w:hAnsi="宋体" w:eastAsia="宋体"/>
          <w:sz w:val="30"/>
          <w:szCs w:val="30"/>
          <w:lang w:val="en-US" w:eastAsia="zh-CN"/>
        </w:rPr>
      </w:pPr>
      <w:r>
        <w:rPr>
          <w:rFonts w:hint="eastAsia"/>
          <w:b/>
          <w:sz w:val="30"/>
          <w:szCs w:val="30"/>
        </w:rPr>
        <w:t xml:space="preserve"> </w:t>
      </w:r>
      <w:r>
        <w:rPr>
          <w:b/>
          <w:sz w:val="30"/>
          <w:szCs w:val="30"/>
        </w:rPr>
        <w:t xml:space="preserve"> </w:t>
      </w:r>
      <w:r>
        <w:rPr>
          <w:rFonts w:ascii="宋体" w:hAnsi="宋体" w:eastAsia="宋体"/>
          <w:sz w:val="30"/>
          <w:szCs w:val="30"/>
        </w:rPr>
        <w:t xml:space="preserve"> </w:t>
      </w:r>
      <w:r>
        <w:rPr>
          <w:rFonts w:hint="eastAsia" w:ascii="宋体" w:hAnsi="宋体" w:eastAsia="宋体"/>
          <w:sz w:val="30"/>
          <w:szCs w:val="30"/>
          <w:lang w:eastAsia="zh-CN"/>
        </w:rPr>
        <w:t>本规划有效期限为：</w:t>
      </w:r>
      <w:r>
        <w:rPr>
          <w:rFonts w:hint="eastAsia" w:ascii="宋体" w:hAnsi="宋体" w:eastAsia="宋体"/>
          <w:sz w:val="30"/>
          <w:szCs w:val="30"/>
          <w:lang w:val="en-US" w:eastAsia="zh-CN"/>
        </w:rPr>
        <w:t>2017——2030年。</w:t>
      </w:r>
    </w:p>
    <w:p>
      <w:pPr>
        <w:jc w:val="left"/>
        <w:rPr>
          <w:rFonts w:hint="eastAsia" w:ascii="宋体" w:hAnsi="宋体" w:eastAsia="宋体"/>
          <w:b/>
          <w:sz w:val="30"/>
          <w:szCs w:val="30"/>
          <w:lang w:eastAsia="zh-CN"/>
        </w:rPr>
      </w:pPr>
      <w:r>
        <w:rPr>
          <w:rFonts w:hint="eastAsia" w:ascii="宋体" w:hAnsi="宋体" w:eastAsia="宋体"/>
          <w:b/>
          <w:sz w:val="30"/>
          <w:szCs w:val="30"/>
          <w:lang w:eastAsia="zh-CN"/>
        </w:rPr>
        <w:t>三</w:t>
      </w:r>
      <w:r>
        <w:rPr>
          <w:rFonts w:hint="eastAsia" w:ascii="宋体" w:hAnsi="宋体" w:eastAsia="宋体"/>
          <w:b/>
          <w:sz w:val="30"/>
          <w:szCs w:val="30"/>
        </w:rPr>
        <w:t>：</w:t>
      </w:r>
      <w:r>
        <w:rPr>
          <w:rFonts w:hint="eastAsia" w:ascii="宋体" w:hAnsi="宋体" w:eastAsia="宋体"/>
          <w:b/>
          <w:sz w:val="30"/>
          <w:szCs w:val="30"/>
          <w:lang w:eastAsia="zh-CN"/>
        </w:rPr>
        <w:t>保护原则</w:t>
      </w:r>
    </w:p>
    <w:p>
      <w:pPr>
        <w:ind w:firstLine="615"/>
        <w:jc w:val="left"/>
        <w:rPr>
          <w:rFonts w:hint="eastAsia" w:ascii="宋体" w:hAnsi="宋体" w:eastAsia="宋体"/>
          <w:sz w:val="30"/>
          <w:szCs w:val="30"/>
          <w:lang w:eastAsia="zh-CN"/>
        </w:rPr>
      </w:pPr>
      <w:r>
        <w:rPr>
          <w:rFonts w:hint="eastAsia" w:ascii="宋体" w:hAnsi="宋体" w:eastAsia="宋体"/>
          <w:sz w:val="30"/>
          <w:szCs w:val="30"/>
          <w:lang w:eastAsia="zh-CN"/>
        </w:rPr>
        <w:t>石头厝保护规划的主要原则包括：</w:t>
      </w:r>
    </w:p>
    <w:p>
      <w:pPr>
        <w:numPr>
          <w:ilvl w:val="0"/>
          <w:numId w:val="1"/>
        </w:numPr>
        <w:ind w:firstLine="615"/>
        <w:jc w:val="left"/>
        <w:rPr>
          <w:rFonts w:hint="eastAsia" w:ascii="宋体" w:hAnsi="宋体" w:eastAsia="宋体"/>
          <w:sz w:val="30"/>
          <w:szCs w:val="30"/>
          <w:lang w:eastAsia="zh-CN"/>
        </w:rPr>
      </w:pPr>
      <w:r>
        <w:rPr>
          <w:rFonts w:hint="eastAsia" w:ascii="宋体" w:hAnsi="宋体" w:eastAsia="宋体"/>
          <w:b/>
          <w:bCs/>
          <w:sz w:val="30"/>
          <w:szCs w:val="30"/>
          <w:lang w:eastAsia="zh-CN"/>
        </w:rPr>
        <w:t>整体性原则，</w:t>
      </w:r>
      <w:r>
        <w:rPr>
          <w:rFonts w:hint="eastAsia" w:ascii="宋体" w:hAnsi="宋体" w:eastAsia="宋体"/>
          <w:sz w:val="30"/>
          <w:szCs w:val="30"/>
          <w:lang w:eastAsia="zh-CN"/>
        </w:rPr>
        <w:t xml:space="preserve">石头厝的保护应以整体保护为本，加强对山、海、溪、滩等自然环境，田、林、渠、塘等生产景观以及石头厝村落的传统格局、空间肌理及重要公共建筑的保护。 </w:t>
      </w:r>
    </w:p>
    <w:p>
      <w:pPr>
        <w:numPr>
          <w:ilvl w:val="0"/>
          <w:numId w:val="1"/>
        </w:numPr>
        <w:ind w:firstLine="615"/>
        <w:jc w:val="left"/>
        <w:rPr>
          <w:rFonts w:hint="eastAsia" w:ascii="宋体" w:hAnsi="宋体" w:eastAsia="宋体"/>
          <w:sz w:val="30"/>
          <w:szCs w:val="30"/>
          <w:lang w:eastAsia="zh-CN"/>
        </w:rPr>
      </w:pPr>
      <w:r>
        <w:rPr>
          <w:rFonts w:hint="eastAsia" w:ascii="宋体" w:hAnsi="宋体" w:eastAsia="宋体"/>
          <w:b/>
          <w:bCs/>
          <w:sz w:val="30"/>
          <w:szCs w:val="30"/>
          <w:lang w:eastAsia="zh-CN"/>
        </w:rPr>
        <w:t>发展性原则</w:t>
      </w:r>
      <w:r>
        <w:rPr>
          <w:rFonts w:hint="eastAsia" w:ascii="宋体" w:hAnsi="宋体" w:eastAsia="宋体"/>
          <w:sz w:val="30"/>
          <w:szCs w:val="30"/>
          <w:lang w:eastAsia="zh-CN"/>
        </w:rPr>
        <w:t xml:space="preserve">，尊重村民对于改善居住环境的需求，在石头厝风貌保护的基础上，允许对建筑内部进行更新，增加宅前屋后绿化，提升院落环境品质，改善基础设施，配建公共空间和服务设施。 </w:t>
      </w:r>
    </w:p>
    <w:p>
      <w:pPr>
        <w:numPr>
          <w:ilvl w:val="0"/>
          <w:numId w:val="1"/>
        </w:numPr>
        <w:ind w:firstLine="615"/>
        <w:jc w:val="left"/>
        <w:rPr>
          <w:rFonts w:hint="eastAsia" w:ascii="宋体" w:hAnsi="宋体" w:eastAsia="宋体"/>
          <w:sz w:val="30"/>
          <w:szCs w:val="30"/>
          <w:lang w:eastAsia="zh-CN"/>
        </w:rPr>
      </w:pPr>
      <w:r>
        <w:rPr>
          <w:rFonts w:hint="eastAsia" w:ascii="宋体" w:hAnsi="宋体" w:eastAsia="宋体"/>
          <w:b/>
          <w:bCs/>
          <w:sz w:val="30"/>
          <w:szCs w:val="30"/>
          <w:lang w:eastAsia="zh-CN"/>
        </w:rPr>
        <w:t>原真性原则</w:t>
      </w:r>
      <w:r>
        <w:rPr>
          <w:rFonts w:hint="eastAsia" w:ascii="宋体" w:hAnsi="宋体" w:eastAsia="宋体"/>
          <w:sz w:val="30"/>
          <w:szCs w:val="30"/>
          <w:lang w:eastAsia="zh-CN"/>
        </w:rPr>
        <w:t xml:space="preserve">，石头厝的修缮应当详细考证建筑的历史信息，修缮应遵循石头厝的原有风貌和特色，使建筑能达到原本最佳的风貌和景观界面。 </w:t>
      </w:r>
    </w:p>
    <w:p>
      <w:pPr>
        <w:numPr>
          <w:ilvl w:val="0"/>
          <w:numId w:val="1"/>
        </w:numPr>
        <w:ind w:firstLine="615"/>
        <w:jc w:val="left"/>
        <w:rPr>
          <w:rFonts w:hint="eastAsia" w:ascii="宋体" w:hAnsi="宋体" w:eastAsia="宋体"/>
          <w:sz w:val="30"/>
          <w:szCs w:val="30"/>
          <w:lang w:eastAsia="zh-CN"/>
        </w:rPr>
      </w:pPr>
      <w:r>
        <w:rPr>
          <w:rFonts w:hint="eastAsia" w:ascii="宋体" w:hAnsi="宋体" w:eastAsia="宋体"/>
          <w:b/>
          <w:bCs/>
          <w:sz w:val="30"/>
          <w:szCs w:val="30"/>
          <w:lang w:eastAsia="zh-CN"/>
        </w:rPr>
        <w:t>可逆性原则，</w:t>
      </w:r>
      <w:r>
        <w:rPr>
          <w:rFonts w:hint="eastAsia" w:ascii="宋体" w:hAnsi="宋体" w:eastAsia="宋体"/>
          <w:sz w:val="30"/>
          <w:szCs w:val="30"/>
          <w:lang w:eastAsia="zh-CN"/>
        </w:rPr>
        <w:t xml:space="preserve">石头厝的整治改造应符合各级保护对象的相关保护要求，对主体结构、内部空间及布局的改变应当在专家的指导下进行，增加新的构件、材料等元素应能与原风貌清晰识别，所有的整治措施都不应是破坏性的变更。 </w:t>
      </w:r>
    </w:p>
    <w:p>
      <w:pPr>
        <w:jc w:val="left"/>
        <w:rPr>
          <w:rFonts w:hint="eastAsia" w:ascii="宋体" w:hAnsi="宋体" w:eastAsia="宋体"/>
          <w:b/>
          <w:sz w:val="30"/>
          <w:szCs w:val="30"/>
          <w:lang w:eastAsia="zh-CN"/>
        </w:rPr>
      </w:pPr>
      <w:r>
        <w:rPr>
          <w:rFonts w:hint="eastAsia" w:ascii="宋体" w:hAnsi="宋体" w:eastAsia="宋体"/>
          <w:b/>
          <w:sz w:val="30"/>
          <w:szCs w:val="30"/>
          <w:lang w:eastAsia="zh-CN"/>
        </w:rPr>
        <w:t>四：保护范围</w:t>
      </w:r>
    </w:p>
    <w:p>
      <w:pPr>
        <w:numPr>
          <w:ilvl w:val="0"/>
          <w:numId w:val="0"/>
        </w:numPr>
        <w:ind w:firstLine="600" w:firstLineChars="200"/>
        <w:jc w:val="left"/>
        <w:rPr>
          <w:rFonts w:hint="eastAsia" w:ascii="宋体" w:hAnsi="宋体" w:eastAsia="宋体"/>
          <w:sz w:val="30"/>
          <w:szCs w:val="30"/>
          <w:lang w:eastAsia="zh-CN"/>
        </w:rPr>
      </w:pPr>
      <w:r>
        <w:rPr>
          <w:rFonts w:hint="eastAsia" w:ascii="宋体" w:hAnsi="宋体" w:eastAsia="宋体"/>
          <w:sz w:val="30"/>
          <w:szCs w:val="30"/>
          <w:lang w:eastAsia="zh-CN"/>
        </w:rPr>
        <w:t>为保护石头厝群落的传统格局和历史风貌、保护文物古迹和传统风貌石厝的完整性和安全性，石头厝群落应采取整体保护策略。</w:t>
      </w:r>
      <w:r>
        <w:rPr>
          <w:rFonts w:hint="eastAsia" w:ascii="宋体" w:hAnsi="宋体" w:eastAsia="宋体"/>
          <w:b/>
          <w:bCs/>
          <w:sz w:val="30"/>
          <w:szCs w:val="30"/>
          <w:lang w:eastAsia="zh-CN"/>
        </w:rPr>
        <w:t>石头厝风貌区应划定核心保护区、建设控制区和环境协调区，实行差异化的保护措施和风貌管控原则。</w:t>
      </w:r>
      <w:r>
        <w:rPr>
          <w:rFonts w:hint="eastAsia" w:ascii="宋体" w:hAnsi="宋体" w:eastAsia="宋体"/>
          <w:sz w:val="30"/>
          <w:szCs w:val="30"/>
          <w:lang w:eastAsia="zh-CN"/>
        </w:rPr>
        <w:t xml:space="preserve">建设管控区分为重点管控区和一般管控区。 </w:t>
      </w:r>
    </w:p>
    <w:p>
      <w:pPr>
        <w:numPr>
          <w:ilvl w:val="0"/>
          <w:numId w:val="0"/>
        </w:numPr>
        <w:ind w:firstLine="600" w:firstLineChars="200"/>
        <w:jc w:val="left"/>
        <w:rPr>
          <w:rFonts w:hint="eastAsia" w:ascii="宋体" w:hAnsi="宋体" w:eastAsia="宋体"/>
          <w:sz w:val="30"/>
          <w:szCs w:val="30"/>
          <w:lang w:eastAsia="zh-CN"/>
        </w:rPr>
      </w:pPr>
      <w:r>
        <w:rPr>
          <w:rFonts w:hint="eastAsia" w:ascii="宋体" w:hAnsi="宋体" w:eastAsia="宋体"/>
          <w:sz w:val="30"/>
          <w:szCs w:val="30"/>
          <w:lang w:eastAsia="zh-CN"/>
        </w:rPr>
        <w:t xml:space="preserve">核心保护区：各级文物保护单位、历史建筑、传统风貌石厝特别集中，石头厝群落的传统格局和历史风貌保留较为完整的核心地段。 </w:t>
      </w:r>
    </w:p>
    <w:p>
      <w:pPr>
        <w:numPr>
          <w:ilvl w:val="0"/>
          <w:numId w:val="0"/>
        </w:numPr>
        <w:ind w:firstLine="600" w:firstLineChars="200"/>
        <w:jc w:val="left"/>
        <w:rPr>
          <w:rFonts w:hint="eastAsia" w:ascii="宋体" w:hAnsi="宋体" w:eastAsia="宋体"/>
          <w:sz w:val="30"/>
          <w:szCs w:val="30"/>
          <w:lang w:eastAsia="zh-CN"/>
        </w:rPr>
      </w:pPr>
      <w:r>
        <w:rPr>
          <w:rFonts w:hint="eastAsia" w:ascii="宋体" w:hAnsi="宋体" w:eastAsia="宋体"/>
          <w:sz w:val="30"/>
          <w:szCs w:val="30"/>
          <w:lang w:eastAsia="zh-CN"/>
        </w:rPr>
        <w:t xml:space="preserve">建设控制区：在核心保护区范围以外允许建设，但应严格控制其建（构）筑物的性质、体量、高度、色彩及形式的区域。 </w:t>
      </w:r>
    </w:p>
    <w:p>
      <w:pPr>
        <w:numPr>
          <w:ilvl w:val="0"/>
          <w:numId w:val="0"/>
        </w:numPr>
        <w:ind w:firstLine="600" w:firstLineChars="200"/>
        <w:jc w:val="left"/>
        <w:rPr>
          <w:rFonts w:hint="eastAsia" w:ascii="宋体" w:hAnsi="宋体" w:eastAsia="宋体"/>
          <w:sz w:val="30"/>
          <w:szCs w:val="30"/>
          <w:lang w:eastAsia="zh-CN"/>
        </w:rPr>
      </w:pPr>
      <w:r>
        <w:rPr>
          <w:rFonts w:hint="eastAsia" w:ascii="宋体" w:hAnsi="宋体" w:eastAsia="宋体"/>
          <w:sz w:val="30"/>
          <w:szCs w:val="30"/>
          <w:lang w:eastAsia="zh-CN"/>
        </w:rPr>
        <w:t xml:space="preserve">环境协调区：在建设控制区之外，划定的以保护自然地形地貌为主要内容的区域。 </w:t>
      </w:r>
    </w:p>
    <w:p>
      <w:pPr>
        <w:jc w:val="left"/>
        <w:rPr>
          <w:rFonts w:hint="eastAsia" w:ascii="宋体" w:hAnsi="宋体" w:eastAsia="宋体"/>
          <w:b/>
          <w:sz w:val="30"/>
          <w:szCs w:val="30"/>
          <w:lang w:eastAsia="zh-CN"/>
        </w:rPr>
      </w:pPr>
      <w:r>
        <w:rPr>
          <w:rFonts w:hint="eastAsia" w:ascii="宋体" w:hAnsi="宋体" w:eastAsia="宋体"/>
          <w:b/>
          <w:sz w:val="30"/>
          <w:szCs w:val="30"/>
          <w:lang w:eastAsia="zh-CN"/>
        </w:rPr>
        <w:t>五</w:t>
      </w:r>
      <w:r>
        <w:rPr>
          <w:rFonts w:hint="eastAsia" w:ascii="宋体" w:hAnsi="宋体" w:eastAsia="宋体"/>
          <w:b/>
          <w:sz w:val="30"/>
          <w:szCs w:val="30"/>
        </w:rPr>
        <w:t>：</w:t>
      </w:r>
      <w:r>
        <w:rPr>
          <w:rFonts w:hint="eastAsia" w:ascii="宋体" w:hAnsi="宋体" w:eastAsia="宋体"/>
          <w:b/>
          <w:sz w:val="30"/>
          <w:szCs w:val="30"/>
          <w:lang w:eastAsia="zh-CN"/>
        </w:rPr>
        <w:t>保护要求</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 xml:space="preserve">1、石头厝风貌区应符合以下保护要求： </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 xml:space="preserve">石头厝风貌区内的各种建设活动，需经区规划主管部门和文物管理部门依据保护规划及相关规划的要求进行审批，规模较大的建设活动和环境变化应经专家组评审。 </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（1）核心保护区</w:t>
      </w:r>
    </w:p>
    <w:p>
      <w:pPr>
        <w:pStyle w:val="5"/>
        <w:numPr>
          <w:ilvl w:val="0"/>
          <w:numId w:val="0"/>
        </w:numPr>
        <w:ind w:firstLine="600" w:firstLineChars="200"/>
        <w:jc w:val="left"/>
        <w:rPr>
          <w:rFonts w:hint="eastAsia" w:ascii="宋体" w:hAnsi="宋体" w:eastAsia="宋体"/>
          <w:b/>
          <w:bCs/>
          <w:sz w:val="30"/>
          <w:szCs w:val="30"/>
        </w:rPr>
      </w:pPr>
      <w:r>
        <w:rPr>
          <w:rFonts w:hint="eastAsia" w:ascii="宋体" w:hAnsi="宋体" w:eastAsia="宋体"/>
          <w:sz w:val="30"/>
          <w:szCs w:val="30"/>
        </w:rPr>
        <w:t>核心保护区内应严格保护历史风貌，维护其整体格局及空间尺度；文物古迹、历史建筑应保持原有的高度、体量、色彩及形式，</w:t>
      </w:r>
      <w:r>
        <w:rPr>
          <w:rFonts w:hint="eastAsia" w:ascii="宋体" w:hAnsi="宋体" w:eastAsia="宋体"/>
          <w:b/>
          <w:bCs/>
          <w:sz w:val="30"/>
          <w:szCs w:val="30"/>
        </w:rPr>
        <w:t>禁止对保护建筑进行非本地传统风格的改造</w:t>
      </w:r>
      <w:r>
        <w:rPr>
          <w:rFonts w:hint="eastAsia" w:ascii="宋体" w:hAnsi="宋体" w:eastAsia="宋体"/>
          <w:sz w:val="30"/>
          <w:szCs w:val="30"/>
        </w:rPr>
        <w:t>；核心保护区内的建设活动应以保护、修缮、改善及内部改造为主，对具有保留利用价值的传统建筑进行功能置换，应符合区域功能定位的需要；</w:t>
      </w:r>
      <w:r>
        <w:rPr>
          <w:rFonts w:hint="eastAsia" w:ascii="宋体" w:hAnsi="宋体" w:eastAsia="宋体"/>
          <w:b/>
          <w:bCs/>
          <w:sz w:val="30"/>
          <w:szCs w:val="30"/>
        </w:rPr>
        <w:t>公共性的保护建筑不得随意改为商业用途；石头厝的修缮改建不应突破原建筑平面轮廓线和层数，石头厝的翻建不应超出原占地面积和层数，并遵循 “修旧如旧”的原则，使用原结构、原材料、原工艺；</w:t>
      </w:r>
      <w:r>
        <w:rPr>
          <w:rFonts w:hint="eastAsia" w:ascii="宋体" w:hAnsi="宋体" w:eastAsia="宋体"/>
          <w:sz w:val="30"/>
          <w:szCs w:val="30"/>
        </w:rPr>
        <w:t>严格控制新建筑的体量、材质与色彩，民居建筑采用石厝风貌建筑；</w:t>
      </w:r>
      <w:r>
        <w:rPr>
          <w:rFonts w:hint="eastAsia" w:ascii="宋体" w:hAnsi="宋体" w:eastAsia="宋体"/>
          <w:b/>
          <w:bCs/>
          <w:sz w:val="30"/>
          <w:szCs w:val="30"/>
        </w:rPr>
        <w:t>教堂建筑高度不应超过 18 米，其他建筑檐口高度不应超过 10 米；</w:t>
      </w:r>
      <w:r>
        <w:rPr>
          <w:rFonts w:hint="eastAsia" w:ascii="宋体" w:hAnsi="宋体" w:eastAsia="宋体"/>
          <w:sz w:val="30"/>
          <w:szCs w:val="30"/>
        </w:rPr>
        <w:t>核心保护区内凡不符合高度、体量、色彩、形式等风貌要求的建筑物</w:t>
      </w:r>
      <w:r>
        <w:rPr>
          <w:rFonts w:hint="eastAsia" w:ascii="宋体" w:hAnsi="宋体" w:eastAsia="宋体"/>
          <w:b/>
          <w:bCs/>
          <w:sz w:val="30"/>
          <w:szCs w:val="30"/>
        </w:rPr>
        <w:t>必须坚决搬迁和拆除。</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w:t>
      </w:r>
      <w:r>
        <w:rPr>
          <w:rFonts w:hint="eastAsia" w:ascii="宋体" w:hAnsi="宋体" w:eastAsia="宋体"/>
          <w:sz w:val="30"/>
          <w:szCs w:val="30"/>
          <w:lang w:val="en-US" w:eastAsia="zh-CN"/>
        </w:rPr>
        <w:t>2</w:t>
      </w:r>
      <w:r>
        <w:rPr>
          <w:rFonts w:hint="eastAsia" w:ascii="宋体" w:hAnsi="宋体" w:eastAsia="宋体"/>
          <w:sz w:val="30"/>
          <w:szCs w:val="30"/>
        </w:rPr>
        <w:t>）</w:t>
      </w:r>
      <w:r>
        <w:rPr>
          <w:rFonts w:hint="eastAsia" w:ascii="宋体" w:hAnsi="宋体" w:eastAsia="宋体"/>
          <w:sz w:val="30"/>
          <w:szCs w:val="30"/>
          <w:lang w:eastAsia="zh-CN"/>
        </w:rPr>
        <w:t>建设控制区</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建设控制区内，</w:t>
      </w:r>
      <w:r>
        <w:rPr>
          <w:rFonts w:hint="eastAsia" w:ascii="宋体" w:hAnsi="宋体" w:eastAsia="宋体"/>
          <w:b/>
          <w:bCs/>
          <w:sz w:val="30"/>
          <w:szCs w:val="30"/>
        </w:rPr>
        <w:t>教堂建筑高度不宜超过 18 米，其他建筑檐口高度不宜超过10 米；石头厝的修缮改建不宜突破原建筑平面轮廓线和层数；</w:t>
      </w:r>
      <w:r>
        <w:rPr>
          <w:rFonts w:hint="eastAsia" w:ascii="宋体" w:hAnsi="宋体" w:eastAsia="宋体"/>
          <w:sz w:val="30"/>
          <w:szCs w:val="30"/>
        </w:rPr>
        <w:t xml:space="preserve">严格控制新建建（构）筑物的性质、高度、体量、色彩及形式等，应与传统格局和历史风貌相协调；其建设内容应根据保护规划的要求进行，以取得与核心保护区之间的合理景观过渡；凡不符合上述要求的新旧建筑必须进行整改或拆除，近期整改或拆除有困难的都应改造其外观和色彩，以达到环境风貌的统一，远期应逐渐整改和拆除。 </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（3）环境协调区</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 xml:space="preserve">环境协调区内的农田、水域、山体等自然环境不应遭到破坏，应对周边自然环境进行整体改善，植树造林、涵养水源；对生产用地进行景观化改造，将农田、林地、鱼塘、码头转变为景观要素；环境协调区内的新建建筑或更新改造建筑，宜与石头厝风貌相协调，其建筑形式要求在不破坏总体风貌的前提下，可适当放宽。  </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 xml:space="preserve">2、建设管控区应符合以下要求： </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 xml:space="preserve">（1）建设管控区分为重点管控区和一般管控区。重点管控区参照石头厝风貌区建设控制区管理，一般管控区参照石头厝风貌区环境协调区管理。 </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 xml:space="preserve">（2）对建设管控区内纳入保护范畴的石头厝建筑进行修缮，对石头厝风貌进行整体维护，控制翻建、新建建筑的高度、体量与色彩等，使之与村落风貌相协调。 </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 xml:space="preserve">（3）宜以村落为单位进行整体保护与整治更新，完善基础设施建设，优化生产空间，注重生态、生产与生活空间的统一协调。 </w:t>
      </w:r>
    </w:p>
    <w:p>
      <w:pPr>
        <w:pStyle w:val="5"/>
        <w:numPr>
          <w:ilvl w:val="0"/>
          <w:numId w:val="0"/>
        </w:numPr>
        <w:ind w:firstLine="600" w:firstLineChars="200"/>
        <w:jc w:val="left"/>
        <w:rPr>
          <w:rFonts w:hint="eastAsia" w:ascii="宋体" w:hAnsi="宋体" w:eastAsia="宋体"/>
          <w:sz w:val="30"/>
          <w:szCs w:val="30"/>
        </w:rPr>
      </w:pPr>
      <w:r>
        <w:rPr>
          <w:rFonts w:hint="eastAsia" w:ascii="宋体" w:hAnsi="宋体" w:eastAsia="宋体"/>
          <w:sz w:val="30"/>
          <w:szCs w:val="30"/>
        </w:rPr>
        <w:t xml:space="preserve">（4）位于水源保护地、风景名胜区等生态红线管控范围内的建设管控区，应服从相关法律法规的保护要求。其他纳入建设管控区的区域，可根据实验区未来发展需求进行调整。 </w:t>
      </w:r>
    </w:p>
    <w:p>
      <w:pPr>
        <w:jc w:val="left"/>
        <w:rPr>
          <w:rFonts w:hint="eastAsia" w:ascii="宋体" w:hAnsi="宋体" w:eastAsia="宋体"/>
          <w:b/>
          <w:sz w:val="30"/>
          <w:szCs w:val="30"/>
          <w:lang w:eastAsia="zh-CN"/>
        </w:rPr>
      </w:pPr>
      <w:r>
        <w:rPr>
          <w:rFonts w:hint="eastAsia" w:ascii="宋体" w:hAnsi="宋体" w:eastAsia="宋体"/>
          <w:b/>
          <w:sz w:val="30"/>
          <w:szCs w:val="30"/>
          <w:lang w:eastAsia="zh-CN"/>
        </w:rPr>
        <w:t>六</w:t>
      </w:r>
      <w:r>
        <w:rPr>
          <w:rFonts w:hint="eastAsia" w:ascii="宋体" w:hAnsi="宋体" w:eastAsia="宋体"/>
          <w:b/>
          <w:sz w:val="30"/>
          <w:szCs w:val="30"/>
        </w:rPr>
        <w:t>：</w:t>
      </w:r>
      <w:r>
        <w:rPr>
          <w:rFonts w:hint="eastAsia" w:ascii="宋体" w:hAnsi="宋体" w:eastAsia="宋体"/>
          <w:b/>
          <w:sz w:val="30"/>
          <w:szCs w:val="30"/>
          <w:lang w:eastAsia="zh-CN"/>
        </w:rPr>
        <w:t>主要规划图纸</w:t>
      </w:r>
    </w:p>
    <w:p>
      <w:pPr>
        <w:ind w:firstLine="600" w:firstLineChars="200"/>
        <w:jc w:val="left"/>
      </w:pPr>
      <w:r>
        <w:rPr>
          <w:rFonts w:hint="eastAsia" w:ascii="宋体" w:hAnsi="宋体" w:eastAsia="宋体" w:cstheme="minorBidi"/>
          <w:kern w:val="2"/>
          <w:sz w:val="30"/>
          <w:szCs w:val="30"/>
          <w:lang w:val="en-US" w:eastAsia="zh-CN" w:bidi="ar-SA"/>
        </w:rPr>
        <w:t>主要规划图纸有01石头厝风貌区保护区划图、02建设管控区划图。</w:t>
      </w:r>
      <w:bookmarkStart w:id="0" w:name="_GoBack"/>
      <w:bookmarkEnd w:id="0"/>
    </w:p>
    <w:sectPr>
      <w:pgSz w:w="11906" w:h="16838"/>
      <w:pgMar w:top="1270" w:right="1800" w:bottom="127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3A61417"/>
    <w:multiLevelType w:val="singleLevel"/>
    <w:tmpl w:val="C3A6141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9F6411"/>
    <w:rsid w:val="14E840C2"/>
    <w:rsid w:val="1BC85950"/>
    <w:rsid w:val="32D31C19"/>
    <w:rsid w:val="465405B7"/>
    <w:rsid w:val="5147051F"/>
    <w:rsid w:val="53E0330E"/>
    <w:rsid w:val="6D9F6411"/>
    <w:rsid w:val="72CE2ECA"/>
    <w:rsid w:val="76C33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1206</TotalTime>
  <ScaleCrop>false</ScaleCrop>
  <LinksUpToDate>false</LinksUpToDate>
  <CharactersWithSpaces>0</CharactersWithSpaces>
  <Application>WPS Office_11.1.0.7849_F1E327BC-269C-435d-A152-05C5408002CA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2019-02-21T08:59:00Z</dcterms:created>
  <dc:creator>lenovo</dc:creator>
  <cp:lastModifiedBy>lenovo</cp:lastModifiedBy>
  <cp:lastPrinted>2019-02-26T02:40:38Z</cp:lastPrinted>
  <dcterms:modified xsi:type="dcterms:W3CDTF">2019-02-27T08:49:26Z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2052-11.1.0.7849</vt:lpwstr>
  </property>
</Properties>
</file>