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FFFFFF" w:fill="auto"/>
        <w:spacing w:line="500" w:lineRule="exact"/>
        <w:textAlignment w:val="top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</w:rPr>
        <w:t>2</w:t>
      </w:r>
    </w:p>
    <w:p>
      <w:pPr>
        <w:shd w:val="solid" w:color="FFFFFF" w:fill="auto"/>
        <w:autoSpaceDN w:val="0"/>
        <w:spacing w:after="120" w:afterLines="50" w:line="680" w:lineRule="exact"/>
        <w:jc w:val="center"/>
        <w:rPr>
          <w:rFonts w:ascii="方正小标宋简体" w:eastAsia="方正小标宋简体"/>
          <w:bCs/>
          <w:sz w:val="36"/>
          <w:szCs w:val="36"/>
          <w:shd w:val="clear" w:color="auto" w:fill="FFFFFF"/>
        </w:rPr>
      </w:pPr>
      <w:bookmarkStart w:id="0" w:name="_GoBack"/>
      <w:r>
        <w:rPr>
          <w:rFonts w:hint="eastAsia" w:ascii="方正小标宋简体" w:eastAsia="方正小标宋简体"/>
          <w:bCs/>
          <w:sz w:val="36"/>
          <w:szCs w:val="36"/>
          <w:shd w:val="clear" w:color="auto" w:fill="FFFFFF"/>
        </w:rPr>
        <w:t>福建省餐饮服务“明厨亮灶”示范单位评定标准</w:t>
      </w:r>
      <w:bookmarkEnd w:id="0"/>
    </w:p>
    <w:tbl>
      <w:tblPr>
        <w:tblStyle w:val="2"/>
        <w:tblW w:w="91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73"/>
        <w:gridCol w:w="5695"/>
        <w:gridCol w:w="708"/>
        <w:gridCol w:w="709"/>
        <w:gridCol w:w="709"/>
        <w:gridCol w:w="7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2" w:hRule="atLeast"/>
          <w:jc w:val="center"/>
        </w:trPr>
        <w:tc>
          <w:tcPr>
            <w:tcW w:w="573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jc w:val="center"/>
              <w:textAlignment w:val="top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内容</w:t>
            </w: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jc w:val="center"/>
              <w:textAlignment w:val="top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要求和扣分标准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jc w:val="center"/>
              <w:textAlignment w:val="top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分值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jc w:val="center"/>
              <w:textAlignment w:val="top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扣分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jc w:val="center"/>
              <w:textAlignment w:val="top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得分</w:t>
            </w:r>
          </w:p>
        </w:tc>
        <w:tc>
          <w:tcPr>
            <w:tcW w:w="793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jc w:val="center"/>
              <w:textAlignment w:val="top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备　　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327" w:hRule="atLeast"/>
          <w:jc w:val="center"/>
        </w:trPr>
        <w:tc>
          <w:tcPr>
            <w:tcW w:w="573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整体环境</w:t>
            </w: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食品处理区设施、设备保持清洁，地面无垃圾、积水及油渍，三防设施完善；就餐场所张贴“厉行节约、反对浪费”的宣传标语。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93" w:type="dxa"/>
            <w:vMerge w:val="restart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6" w:hRule="atLeast"/>
          <w:jc w:val="center"/>
        </w:trPr>
        <w:tc>
          <w:tcPr>
            <w:tcW w:w="573" w:type="dxa"/>
            <w:vMerge w:val="restart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视频网络展示</w:t>
            </w:r>
          </w:p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1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．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进货查验展示。展示验货过程，展示原料品牌，购物发票等。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1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2．原料清洗展示。展示动物性、植物性、水产品分类清洗画面。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8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3．切配展示。展示动物性、植物性、水产品分类切配画面。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6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4．烹饪展示。展示烹饪画面，成品摆放画面。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10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6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5．专间或专用操作区展示。展示制作加工和成品摆放画面，展示洗手消毒和进入专间画面。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12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0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6．餐具清洗消毒展示。展示清洗消毒画面。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9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7．展示食品经营许可证，餐饮量化评定等级、健康证明、日常监督检查结果记录表、食品安全承诺等。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6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14" w:hRule="atLeast"/>
          <w:jc w:val="center"/>
        </w:trPr>
        <w:tc>
          <w:tcPr>
            <w:tcW w:w="573" w:type="dxa"/>
            <w:vMerge w:val="restart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其他相关要求</w:t>
            </w: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1．“明厨亮灶”示范单位须采取视频和网络相结合的方式进行展示。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restart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78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2．“明厨亮灶”的视频信息应在餐饮服务单位（食堂）就餐场所明显位置展示，并接入餐饮服务单位（食堂）相关管理人员办公电脑或手机APP终端予以监督。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top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6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3．视频网络展示必须包括食品安全相关信息。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top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4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4．使用高清监控摄像设备，并在互联网上进行操作展示和信息公示。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top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4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5．餐饮服务单位采用视频展示的，要保证采集的视频信息保存时间不少于7天。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8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vMerge w:val="continue"/>
            <w:shd w:val="solid" w:color="FFFFFF" w:fill="auto"/>
            <w:noWrap w:val="0"/>
            <w:vAlign w:val="top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10" w:hRule="atLeast"/>
          <w:jc w:val="center"/>
        </w:trPr>
        <w:tc>
          <w:tcPr>
            <w:tcW w:w="573" w:type="dxa"/>
            <w:vMerge w:val="continue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5695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6．积极推进“明厨亮灶”融入监管部门智慧监管平台。</w:t>
            </w:r>
          </w:p>
        </w:tc>
        <w:tc>
          <w:tcPr>
            <w:tcW w:w="708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5</w:t>
            </w: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09" w:type="dxa"/>
            <w:shd w:val="solid" w:color="FFFFFF" w:fill="auto"/>
            <w:noWrap w:val="0"/>
            <w:vAlign w:val="center"/>
          </w:tcPr>
          <w:p>
            <w:pPr>
              <w:shd w:val="solid" w:color="FFFFFF" w:fill="auto"/>
              <w:spacing w:line="320" w:lineRule="exact"/>
              <w:jc w:val="center"/>
              <w:textAlignment w:val="top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</w:tc>
        <w:tc>
          <w:tcPr>
            <w:tcW w:w="793" w:type="dxa"/>
            <w:shd w:val="solid" w:color="FFFFFF" w:fill="auto"/>
            <w:noWrap w:val="0"/>
            <w:vAlign w:val="top"/>
          </w:tcPr>
          <w:p>
            <w:pPr>
              <w:shd w:val="solid" w:color="FFFFFF" w:fill="auto"/>
              <w:spacing w:line="320" w:lineRule="exact"/>
              <w:textAlignment w:val="top"/>
              <w:rPr>
                <w:rFonts w:hint="eastAsia" w:ascii="仿宋_GB2312" w:hAnsi="宋体" w:eastAsia="仿宋_GB2312"/>
                <w:spacing w:val="-6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pacing w:val="-6"/>
                <w:sz w:val="28"/>
                <w:szCs w:val="28"/>
              </w:rPr>
              <w:t>此项为加分项</w:t>
            </w:r>
          </w:p>
        </w:tc>
      </w:tr>
    </w:tbl>
    <w:p>
      <w:pPr>
        <w:spacing w:line="600" w:lineRule="exact"/>
        <w:rPr>
          <w:rFonts w:hint="eastAsia" w:ascii="仿宋_GB2312" w:hAnsi="宋体" w:eastAsia="仿宋_GB2312"/>
          <w:sz w:val="32"/>
          <w:szCs w:val="30"/>
        </w:rPr>
      </w:pPr>
      <w:r>
        <w:rPr>
          <w:rFonts w:hint="eastAsia" w:ascii="仿宋_GB2312" w:hAnsi="宋体" w:eastAsia="仿宋_GB2312"/>
          <w:sz w:val="24"/>
          <w:szCs w:val="30"/>
        </w:rPr>
        <w:t>说明：满分为100分，得分90分以上（含90分）为达标。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F26CA"/>
    <w:rsid w:val="4ABF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2020-03-13T01:19:00Z</dcterms:created>
  <dc:creator>Y_°1422787425</dc:creator>
  <cp:lastModifiedBy>Y_°1422787425</cp:lastModifiedBy>
  <dcterms:modified xsi:type="dcterms:W3CDTF">2020-03-13T01:19:48Z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