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1D3" w:rsidRPr="002F41D3" w:rsidRDefault="00541DBE" w:rsidP="00541DBE">
      <w:pPr>
        <w:pStyle w:val="a5"/>
        <w:shd w:val="clear" w:color="auto" w:fill="FFFFFF"/>
        <w:spacing w:before="0" w:beforeAutospacing="0" w:after="0" w:afterAutospacing="0" w:line="520" w:lineRule="exact"/>
        <w:jc w:val="center"/>
        <w:rPr>
          <w:rFonts w:ascii="黑体" w:eastAsia="黑体" w:cs="Times New Roman"/>
          <w:b/>
          <w:bCs/>
          <w:sz w:val="32"/>
          <w:szCs w:val="32"/>
        </w:rPr>
      </w:pPr>
      <w:r w:rsidRPr="002F41D3">
        <w:rPr>
          <w:rFonts w:ascii="黑体" w:eastAsia="黑体" w:cs="Times New Roman" w:hint="eastAsia"/>
          <w:b/>
          <w:bCs/>
          <w:sz w:val="32"/>
          <w:szCs w:val="32"/>
        </w:rPr>
        <w:t>平潭综合实验区流水组团</w:t>
      </w:r>
    </w:p>
    <w:p w:rsidR="00541DBE" w:rsidRPr="002F41D3" w:rsidRDefault="00541DBE" w:rsidP="002F41D3">
      <w:pPr>
        <w:pStyle w:val="a5"/>
        <w:shd w:val="clear" w:color="auto" w:fill="FFFFFF"/>
        <w:spacing w:before="0" w:beforeAutospacing="0" w:after="0" w:afterAutospacing="0" w:line="520" w:lineRule="exact"/>
        <w:jc w:val="center"/>
        <w:rPr>
          <w:rFonts w:ascii="黑体" w:eastAsia="黑体" w:cs="Times New Roman"/>
          <w:b/>
          <w:bCs/>
          <w:sz w:val="32"/>
          <w:szCs w:val="32"/>
        </w:rPr>
      </w:pPr>
      <w:r w:rsidRPr="002F41D3">
        <w:rPr>
          <w:rFonts w:ascii="黑体" w:eastAsia="黑体" w:cs="Times New Roman" w:hint="eastAsia"/>
          <w:b/>
          <w:bCs/>
          <w:sz w:val="32"/>
          <w:szCs w:val="32"/>
        </w:rPr>
        <w:t>控制性详细规划</w:t>
      </w:r>
      <w:r w:rsidR="002F41D3" w:rsidRPr="002F41D3">
        <w:rPr>
          <w:rFonts w:ascii="黑体" w:eastAsia="黑体" w:cs="Times New Roman" w:hint="eastAsia"/>
          <w:b/>
          <w:bCs/>
          <w:sz w:val="32"/>
          <w:szCs w:val="32"/>
        </w:rPr>
        <w:t>（</w:t>
      </w:r>
      <w:r w:rsidRPr="002F41D3">
        <w:rPr>
          <w:rFonts w:ascii="黑体" w:eastAsia="黑体" w:cs="Times New Roman" w:hint="eastAsia"/>
          <w:b/>
          <w:bCs/>
          <w:sz w:val="32"/>
          <w:szCs w:val="32"/>
        </w:rPr>
        <w:t>修编</w:t>
      </w:r>
      <w:r w:rsidR="002F41D3" w:rsidRPr="002F41D3">
        <w:rPr>
          <w:rFonts w:ascii="黑体" w:eastAsia="黑体" w:cs="Times New Roman" w:hint="eastAsia"/>
          <w:b/>
          <w:bCs/>
          <w:sz w:val="32"/>
          <w:szCs w:val="32"/>
        </w:rPr>
        <w:t>）</w:t>
      </w:r>
      <w:r w:rsidRPr="002F41D3">
        <w:rPr>
          <w:rFonts w:ascii="黑体" w:eastAsia="黑体" w:cs="Times New Roman" w:hint="eastAsia"/>
          <w:b/>
          <w:bCs/>
          <w:sz w:val="32"/>
          <w:szCs w:val="32"/>
        </w:rPr>
        <w:t>公示</w:t>
      </w:r>
    </w:p>
    <w:p w:rsidR="00541DBE" w:rsidRDefault="00541DBE" w:rsidP="00541DB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rFonts w:cs="Times New Roman"/>
          <w:b/>
          <w:bCs/>
        </w:rPr>
      </w:pPr>
      <w:proofErr w:type="gramStart"/>
      <w:r>
        <w:rPr>
          <w:rFonts w:cs="Times New Roman" w:hint="eastAsia"/>
          <w:b/>
          <w:bCs/>
        </w:rPr>
        <w:t>一</w:t>
      </w:r>
      <w:proofErr w:type="gramEnd"/>
      <w:r>
        <w:rPr>
          <w:rFonts w:cs="Times New Roman" w:hint="eastAsia"/>
          <w:b/>
          <w:bCs/>
        </w:rPr>
        <w:t>.规划范围：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本次规划范围东至王爷山景区，西至现状村庄，南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至裕藩湾整个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沿岸，北至大富澳沿岸。规划范围总面积约1557.85公顷。</w:t>
      </w:r>
    </w:p>
    <w:p w:rsidR="00541DBE" w:rsidRDefault="00541DBE" w:rsidP="00541DB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二、规划目标：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注重生态保护和以旅游为龙头的特色化发展，引导人口适度集聚，加强对周边城乡居民的综合公共服务能力，将流水组团塑造成为宜居、宜游、富有魅力的海滨旅游小镇。</w:t>
      </w:r>
    </w:p>
    <w:p w:rsidR="00541DBE" w:rsidRDefault="00541DBE" w:rsidP="00541DB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三.功能定位：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本组团的功能定位为：集运动休闲、生态观光、产业创新、文化体验、生态居住等综合服务功能于一体的魅力小镇。</w:t>
      </w:r>
    </w:p>
    <w:p w:rsidR="00541DBE" w:rsidRDefault="00541DBE" w:rsidP="00541DB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rFonts w:cs="Times New Roman"/>
          <w:b/>
          <w:bCs/>
        </w:rPr>
      </w:pPr>
      <w:r w:rsidRPr="00541DBE">
        <w:rPr>
          <w:rFonts w:cs="Times New Roman" w:hint="eastAsia"/>
          <w:b/>
          <w:bCs/>
        </w:rPr>
        <w:t>四.主要规划内容：</w:t>
      </w:r>
    </w:p>
    <w:p w:rsidR="00541DBE" w:rsidRDefault="00541DBE" w:rsidP="00541DB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b/>
          <w:bCs/>
          <w:spacing w:val="4"/>
          <w:kern w:val="11"/>
        </w:rPr>
      </w:pPr>
      <w:r>
        <w:rPr>
          <w:rFonts w:hint="eastAsia"/>
          <w:b/>
          <w:bCs/>
          <w:spacing w:val="4"/>
          <w:kern w:val="11"/>
        </w:rPr>
        <w:t>（一）规划结构：两核一带两湾五片区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1、两核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两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核分别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为生活服务核心和旅游服务核心。生活服务核心位于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松裕路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以北，为流水组团提供综合公共服务。旅游服务核心位于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松裕路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以南，为流水组团提供旅游综合服务。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2、一带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一带指城镇服务带，由流水路、环岛东路、流水北路构成，串联流水组团的各个功能片区。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3、两湾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两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湾分别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为大富澳生态海湾和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裕藩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湾休闲海湾。大富澳生态海湾主要为生态、防风功能，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裕藩湾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休闲海湾主要为旅游、休闲功能。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4、五片区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五片区分别为生活居住片区、旅游服务片区、老镇区生活片区、产业发展片区、生态旅游片区。</w:t>
      </w:r>
    </w:p>
    <w:p w:rsidR="00541DBE" w:rsidRDefault="00541DBE" w:rsidP="00541DB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b/>
          <w:bCs/>
          <w:spacing w:val="4"/>
          <w:kern w:val="11"/>
        </w:rPr>
      </w:pPr>
      <w:r w:rsidRPr="00541DBE">
        <w:rPr>
          <w:rFonts w:hint="eastAsia"/>
          <w:b/>
          <w:bCs/>
          <w:spacing w:val="4"/>
          <w:kern w:val="11"/>
        </w:rPr>
        <w:t>（二）空间景观构架</w:t>
      </w:r>
      <w:r>
        <w:rPr>
          <w:rFonts w:hint="eastAsia"/>
          <w:b/>
          <w:bCs/>
          <w:spacing w:val="4"/>
          <w:kern w:val="11"/>
        </w:rPr>
        <w:t>：</w:t>
      </w:r>
      <w:r w:rsidRPr="00541DBE">
        <w:rPr>
          <w:rFonts w:hint="eastAsia"/>
          <w:b/>
          <w:bCs/>
          <w:spacing w:val="4"/>
          <w:kern w:val="11"/>
        </w:rPr>
        <w:t>一轴、两湾、三带、多点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1、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“一轴”——城镇景观轴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城镇景观轴是城市景观体系中的主导元素，通过沿上流路的绿化带串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lastRenderedPageBreak/>
        <w:t>联生活居住片区和旅游服务片区的城镇景观节点和生态景观节点。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2、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“两湾” ——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环湾景观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带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环湾景观带包括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大富澳生态海湾景观带和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裕藩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湾休闲海湾景观带。大富澳生态海湾景观带以防风林带和村庄生态景观风貌为主，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裕藩湾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休闲海湾景观带以休闲旅游的景观风貌为主。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3、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“三带”——景观生态绿带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景观生态绿带包括沿环岛东路、流水北路、流水路形成的三条景观生态绿带。其中流水北路、流水路景观生态绿带为东西向贯穿本片区，环岛东路景观生态绿带为南北向贯穿北片区，三条绿带构成本片区景观构架的基本界面。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4、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“多点”——城镇景观节点与生态景观节点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本片区形成3个城镇景观节点与2个生态景观节点。3个城镇景观节点分布位于生活居住片区、旅游服务片区和产业发展片区的片区中心，是该片区城市活动和各类城市服务功能景观风貌的中心；2个生态景观节点位于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裕藩湾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休闲海湾景观带上的东美村和五星村，是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裕藩湾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休闲旅游和水上运动景观风貌的节点，其中五星村节点与风帆基地等项目相结合，以休闲旅游和水上运动功能景观为主，东美村节点结合王爷山景区，以生态休闲旅游功能的景观和石头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厝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的原生态传统村落景观为主。</w:t>
      </w:r>
    </w:p>
    <w:p w:rsidR="00541DBE" w:rsidRDefault="00541DBE" w:rsidP="00541DBE">
      <w:pPr>
        <w:adjustRightInd w:val="0"/>
        <w:snapToGrid w:val="0"/>
        <w:spacing w:line="400" w:lineRule="exact"/>
        <w:rPr>
          <w:rFonts w:ascii="宋体" w:hAnsi="宋体"/>
          <w:b/>
          <w:bCs/>
          <w:spacing w:val="4"/>
          <w:kern w:val="11"/>
          <w:sz w:val="24"/>
        </w:rPr>
      </w:pPr>
      <w:r>
        <w:rPr>
          <w:rFonts w:ascii="宋体" w:hAnsi="宋体" w:hint="eastAsia"/>
          <w:b/>
          <w:bCs/>
          <w:spacing w:val="4"/>
          <w:kern w:val="11"/>
          <w:sz w:val="24"/>
        </w:rPr>
        <w:t>（三）道路交通规划：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1、道路系统规划：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总体呈“二横三纵”的路网格局。“二横”:</w:t>
      </w:r>
      <w:r>
        <w:rPr>
          <w:rFonts w:ascii="宋体" w:eastAsia="宋体" w:hAnsi="宋体" w:cs="Times New Roman" w:hint="eastAsia"/>
          <w:spacing w:val="10"/>
          <w:sz w:val="24"/>
          <w:szCs w:val="24"/>
        </w:rPr>
        <w:t>麒麟大道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-流水路、</w:t>
      </w:r>
      <w:proofErr w:type="gramStart"/>
      <w:r>
        <w:rPr>
          <w:rFonts w:ascii="宋体" w:eastAsia="宋体" w:hAnsi="宋体" w:cs="Times New Roman" w:hint="eastAsia"/>
          <w:spacing w:val="10"/>
          <w:sz w:val="24"/>
          <w:szCs w:val="24"/>
        </w:rPr>
        <w:t>松裕路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；“三纵”：环岛路、翠园路-流水北路、西楼路。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2、</w:t>
      </w:r>
      <w:r>
        <w:rPr>
          <w:rFonts w:ascii="宋体" w:hAnsi="宋体" w:hint="eastAsia"/>
          <w:spacing w:val="10"/>
          <w:sz w:val="24"/>
        </w:rPr>
        <w:t>道路竖向规划：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防潮标准：100年一遇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，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防山洪标准：30年一遇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，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排涝标准：20年一遇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。</w:t>
      </w:r>
      <w:proofErr w:type="gramEnd"/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翠园路设计标高为7.78～19.50米，最大坡度1.73%，最小坡度0.30%。道路的规划标高为6.05～28.54米，最大坡度3.0%，最小坡度0.24%，地块规划竖向高程6.2～27.5米。（不统计保留山体的标高）。</w:t>
      </w:r>
    </w:p>
    <w:p w:rsidR="00541DBE" w:rsidRDefault="00541DBE" w:rsidP="00541DBE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>
        <w:rPr>
          <w:rFonts w:ascii="宋体" w:hAnsi="宋体" w:hint="eastAsia"/>
          <w:spacing w:val="10"/>
          <w:sz w:val="24"/>
        </w:rPr>
        <w:t>3</w:t>
      </w:r>
      <w:r w:rsidR="00E97E45">
        <w:rPr>
          <w:rFonts w:ascii="宋体" w:eastAsia="宋体" w:hAnsi="宋体" w:cs="Times New Roman" w:hint="eastAsia"/>
          <w:spacing w:val="10"/>
          <w:sz w:val="24"/>
          <w:szCs w:val="24"/>
        </w:rPr>
        <w:t>、</w:t>
      </w:r>
      <w:r>
        <w:rPr>
          <w:rFonts w:ascii="宋体" w:hAnsi="宋体" w:hint="eastAsia"/>
          <w:spacing w:val="10"/>
          <w:sz w:val="24"/>
        </w:rPr>
        <w:t>交通设施布局规划：</w:t>
      </w:r>
    </w:p>
    <w:p w:rsidR="00541DBE" w:rsidRP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（1）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公共场站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规划布设4处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公交首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末站，其中，在老镇区设置1处公交停保场（</w:t>
      </w:r>
      <w:proofErr w:type="gramStart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谦作公交首</w:t>
      </w:r>
      <w:proofErr w:type="gramEnd"/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末站），占地面积约1.05公顷。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eastAsia="宋体" w:hAnsi="宋体" w:cs="Times New Roman" w:hint="eastAsia"/>
          <w:spacing w:val="10"/>
          <w:sz w:val="24"/>
          <w:szCs w:val="24"/>
        </w:rPr>
        <w:t>（2）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公共停车场规划</w:t>
      </w:r>
    </w:p>
    <w:p w:rsidR="00541DBE" w:rsidRDefault="00541DBE" w:rsidP="00541DB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t>本区停车需求主要考虑机动车停车位的安排，规划形成以配建停车为</w:t>
      </w:r>
      <w:r w:rsidRPr="00541DBE">
        <w:rPr>
          <w:rFonts w:ascii="宋体" w:eastAsia="宋体" w:hAnsi="宋体" w:cs="Times New Roman" w:hint="eastAsia"/>
          <w:spacing w:val="10"/>
          <w:sz w:val="24"/>
          <w:szCs w:val="24"/>
        </w:rPr>
        <w:lastRenderedPageBreak/>
        <w:t>主体，公共停车场为辅，路内停车为补充的供应体系，满足一车一位的基本停车需求。公共停车场按两种类型配置，共715个泊位。新建住宅配建停车位应100%预留充电设施建设安装条件。具有充电设施的停车位应不少于总停车位的20%。鼓励建设立体式停车充电一体化设施。</w:t>
      </w:r>
    </w:p>
    <w:p w:rsidR="00A808CE" w:rsidRPr="006D34E9" w:rsidRDefault="00A808CE" w:rsidP="00A808CE">
      <w:pPr>
        <w:pStyle w:val="a5"/>
        <w:shd w:val="clear" w:color="auto" w:fill="FFFFFF"/>
        <w:spacing w:before="156" w:beforeAutospacing="0" w:after="156" w:afterAutospacing="0" w:line="400" w:lineRule="exact"/>
        <w:ind w:left="420" w:hanging="420"/>
        <w:outlineLvl w:val="0"/>
        <w:rPr>
          <w:rFonts w:cs="Times New Roman"/>
          <w:b/>
          <w:bCs/>
        </w:rPr>
      </w:pPr>
      <w:r w:rsidRPr="006D34E9">
        <w:rPr>
          <w:rFonts w:cs="Times New Roman" w:hint="eastAsia"/>
          <w:b/>
          <w:bCs/>
        </w:rPr>
        <w:t>五.市政承载体系规划：</w:t>
      </w:r>
    </w:p>
    <w:p w:rsidR="00A808CE" w:rsidRPr="006D34E9" w:rsidRDefault="00A808CE" w:rsidP="00A808CE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1</w:t>
      </w:r>
      <w:r w:rsidR="00E97E45">
        <w:rPr>
          <w:rFonts w:ascii="宋体" w:eastAsia="宋体" w:hAnsi="宋体" w:cs="Times New Roman" w:hint="eastAsia"/>
          <w:spacing w:val="10"/>
          <w:sz w:val="24"/>
          <w:szCs w:val="24"/>
        </w:rPr>
        <w:t>、</w:t>
      </w:r>
      <w:r w:rsidRPr="006D34E9">
        <w:rPr>
          <w:rFonts w:ascii="宋体" w:hAnsi="宋体" w:hint="eastAsia"/>
          <w:spacing w:val="10"/>
          <w:sz w:val="24"/>
        </w:rPr>
        <w:t>给水工程规划：</w:t>
      </w:r>
      <w:r w:rsidR="006D34E9" w:rsidRPr="006D34E9">
        <w:rPr>
          <w:rFonts w:ascii="宋体" w:hAnsi="宋体" w:hint="eastAsia"/>
          <w:spacing w:val="10"/>
          <w:sz w:val="24"/>
        </w:rPr>
        <w:t>规划区最高日用水量为1.76万m³/d，中水需水量（包括防护绿化用水）为0.64万m³/d。本区净水需水量约为1.1万m³/d。本区由三十六脚湖水厂（南部水厂）和</w:t>
      </w:r>
      <w:proofErr w:type="gramStart"/>
      <w:r w:rsidR="006D34E9" w:rsidRPr="006D34E9">
        <w:rPr>
          <w:rFonts w:ascii="宋体" w:hAnsi="宋体" w:hint="eastAsia"/>
          <w:spacing w:val="10"/>
          <w:sz w:val="24"/>
        </w:rPr>
        <w:t>君山水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厂（北部水厂）联合供水</w:t>
      </w:r>
    </w:p>
    <w:p w:rsidR="006D34E9" w:rsidRPr="006D34E9" w:rsidRDefault="00E97E45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>
        <w:rPr>
          <w:rFonts w:ascii="宋体" w:hAnsi="宋体" w:hint="eastAsia"/>
          <w:spacing w:val="10"/>
          <w:sz w:val="24"/>
        </w:rPr>
        <w:t>2</w:t>
      </w:r>
      <w:r>
        <w:rPr>
          <w:rFonts w:ascii="宋体" w:eastAsia="宋体" w:hAnsi="宋体" w:cs="Times New Roman" w:hint="eastAsia"/>
          <w:spacing w:val="10"/>
          <w:sz w:val="24"/>
          <w:szCs w:val="24"/>
        </w:rPr>
        <w:t>、</w:t>
      </w:r>
      <w:r w:rsidR="006D34E9" w:rsidRPr="006D34E9">
        <w:rPr>
          <w:rFonts w:ascii="宋体" w:hAnsi="宋体" w:hint="eastAsia"/>
          <w:spacing w:val="10"/>
          <w:sz w:val="24"/>
        </w:rPr>
        <w:t>排水工程规划</w:t>
      </w:r>
      <w:r w:rsidR="00A808CE" w:rsidRPr="006D34E9">
        <w:rPr>
          <w:rFonts w:ascii="宋体" w:hAnsi="宋体" w:hint="eastAsia"/>
          <w:spacing w:val="10"/>
          <w:sz w:val="24"/>
        </w:rPr>
        <w:t>：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（1）规划区排水体制采用雨污分流制。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（2）暴雨公式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 xml:space="preserve">采用平潭新公式： 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/>
          <w:spacing w:val="10"/>
          <w:sz w:val="24"/>
        </w:rPr>
        <w:t xml:space="preserve">  </w:t>
      </w:r>
      <w:r w:rsidRPr="006D34E9">
        <w:rPr>
          <w:rFonts w:ascii="宋体" w:hAnsi="宋体" w:hint="eastAsia"/>
          <w:spacing w:val="10"/>
          <w:sz w:val="24"/>
        </w:rPr>
        <w:t>P——暴雨重现期P，采用2~5年，综合径流系数取0.5～0.7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（3）管渠布置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区内雨水经支管汇集后，汇入市政雨水管，就近排入城市内河。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（4）污水量预测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规划</w:t>
      </w:r>
      <w:proofErr w:type="gramStart"/>
      <w:r w:rsidRPr="006D34E9">
        <w:rPr>
          <w:rFonts w:ascii="宋体" w:hAnsi="宋体" w:hint="eastAsia"/>
          <w:spacing w:val="10"/>
          <w:sz w:val="24"/>
        </w:rPr>
        <w:t>区预测</w:t>
      </w:r>
      <w:proofErr w:type="gramEnd"/>
      <w:r w:rsidRPr="006D34E9">
        <w:rPr>
          <w:rFonts w:ascii="宋体" w:hAnsi="宋体" w:hint="eastAsia"/>
          <w:spacing w:val="10"/>
          <w:sz w:val="24"/>
        </w:rPr>
        <w:t>平均日污水量为1.02万m³/d。</w:t>
      </w:r>
    </w:p>
    <w:p w:rsidR="006D34E9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（5）管网规划</w:t>
      </w:r>
    </w:p>
    <w:p w:rsidR="00A808CE" w:rsidRPr="006D34E9" w:rsidRDefault="006D34E9" w:rsidP="006D34E9">
      <w:pPr>
        <w:spacing w:line="400" w:lineRule="exact"/>
        <w:ind w:firstLineChars="200" w:firstLine="520"/>
        <w:rPr>
          <w:rFonts w:ascii="宋体" w:hAnsi="宋体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流水镇生活区污水规划通过污水管道、污水泵站收集与提升加压后，最终输往东区污水处理厂进行处理。</w:t>
      </w:r>
    </w:p>
    <w:p w:rsidR="00A808CE" w:rsidRPr="006D34E9" w:rsidRDefault="00A808CE" w:rsidP="00536BA4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3</w:t>
      </w:r>
      <w:r w:rsidR="00E97E45">
        <w:rPr>
          <w:rFonts w:ascii="宋体" w:hAnsi="宋体" w:hint="eastAsia"/>
          <w:spacing w:val="10"/>
          <w:sz w:val="24"/>
        </w:rPr>
        <w:t>、</w:t>
      </w:r>
      <w:r w:rsidRPr="006D34E9">
        <w:rPr>
          <w:rFonts w:ascii="宋体" w:hAnsi="宋体" w:hint="eastAsia"/>
          <w:spacing w:val="10"/>
          <w:sz w:val="24"/>
        </w:rPr>
        <w:t>燃气工程规划：</w:t>
      </w:r>
      <w:r w:rsidR="006D34E9" w:rsidRPr="006D34E9">
        <w:rPr>
          <w:rFonts w:ascii="宋体" w:hAnsi="宋体" w:hint="eastAsia"/>
          <w:spacing w:val="10"/>
          <w:sz w:val="24"/>
        </w:rPr>
        <w:t>规划区</w:t>
      </w:r>
      <w:proofErr w:type="gramStart"/>
      <w:r w:rsidR="006D34E9" w:rsidRPr="006D34E9">
        <w:rPr>
          <w:rFonts w:ascii="宋体" w:hAnsi="宋体" w:hint="eastAsia"/>
          <w:spacing w:val="10"/>
          <w:sz w:val="24"/>
        </w:rPr>
        <w:t>总共年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需天然气330万m</w:t>
      </w:r>
      <w:r w:rsidR="006D34E9" w:rsidRPr="006D34E9">
        <w:rPr>
          <w:rFonts w:ascii="宋体" w:hAnsi="宋体" w:hint="eastAsia"/>
          <w:spacing w:val="10"/>
          <w:sz w:val="24"/>
          <w:vertAlign w:val="superscript"/>
        </w:rPr>
        <w:t>3</w:t>
      </w:r>
      <w:r w:rsidR="006D34E9" w:rsidRPr="006D34E9">
        <w:rPr>
          <w:rFonts w:ascii="宋体" w:hAnsi="宋体" w:hint="eastAsia"/>
          <w:spacing w:val="10"/>
          <w:sz w:val="24"/>
        </w:rPr>
        <w:t>。规划近期在金井湾组团设置一座规模900m</w:t>
      </w:r>
      <w:r w:rsidR="006D34E9" w:rsidRPr="006D34E9">
        <w:rPr>
          <w:rFonts w:ascii="宋体" w:hAnsi="宋体" w:hint="eastAsia"/>
          <w:spacing w:val="10"/>
          <w:sz w:val="24"/>
          <w:vertAlign w:val="superscript"/>
        </w:rPr>
        <w:t>3</w:t>
      </w:r>
      <w:r w:rsidR="006D34E9" w:rsidRPr="006D34E9">
        <w:rPr>
          <w:rFonts w:ascii="宋体" w:hAnsi="宋体" w:hint="eastAsia"/>
          <w:spacing w:val="10"/>
          <w:sz w:val="24"/>
        </w:rPr>
        <w:t>的LNG贮存气化站，远期气源由渔溪门站将4.0MPa高压（A）天然气调至1.6 MPa（DN500）次高压（A）出站后进入城市次高压管道至平潭海峡大桥西岸，次高压管道穿越平潭海坛海峡上岸后至位于平潭</w:t>
      </w:r>
      <w:proofErr w:type="gramStart"/>
      <w:r w:rsidR="006D34E9" w:rsidRPr="006D34E9">
        <w:rPr>
          <w:rFonts w:ascii="宋体" w:hAnsi="宋体" w:hint="eastAsia"/>
          <w:spacing w:val="10"/>
          <w:sz w:val="24"/>
        </w:rPr>
        <w:t>牛寨山南侧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的高中压调压站，在高中压调压站调至0.4MPa中压后进入中压管网。</w:t>
      </w:r>
    </w:p>
    <w:p w:rsidR="00A808CE" w:rsidRPr="006D34E9" w:rsidRDefault="00A808CE" w:rsidP="006D34E9">
      <w:pPr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t>4</w:t>
      </w:r>
      <w:r w:rsidR="00E97E45">
        <w:rPr>
          <w:rFonts w:ascii="宋体" w:hAnsi="宋体" w:hint="eastAsia"/>
          <w:spacing w:val="10"/>
          <w:sz w:val="24"/>
        </w:rPr>
        <w:t>、</w:t>
      </w:r>
      <w:r w:rsidRPr="006D34E9">
        <w:rPr>
          <w:rFonts w:ascii="宋体" w:hAnsi="宋体" w:hint="eastAsia"/>
          <w:spacing w:val="10"/>
          <w:sz w:val="24"/>
        </w:rPr>
        <w:t>电力工程规划：本控</w:t>
      </w:r>
      <w:proofErr w:type="gramStart"/>
      <w:r w:rsidRPr="006D34E9">
        <w:rPr>
          <w:rFonts w:ascii="宋体" w:hAnsi="宋体" w:hint="eastAsia"/>
          <w:spacing w:val="10"/>
          <w:sz w:val="24"/>
        </w:rPr>
        <w:t>规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电力计算负荷为125.61MW，电力综合负荷密度为160.14千瓦/公顷。在区内设二座110kV变电站，其中大珵变电站占地面积为0.43公顷，远期容量为3×50MVA，110千伏进线3回，1回引自规划的220千伏韩</w:t>
      </w:r>
      <w:proofErr w:type="gramStart"/>
      <w:r w:rsidR="006D34E9" w:rsidRPr="006D34E9">
        <w:rPr>
          <w:rFonts w:ascii="宋体" w:hAnsi="宋体" w:hint="eastAsia"/>
          <w:spacing w:val="10"/>
          <w:sz w:val="24"/>
        </w:rPr>
        <w:t>厝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变电站，2回引自规划的220千伏大中变电站；上楼变电站占地面积为0.55公顷，远期容量为2×50MVA，110千伏进线3回，1回引自规划的220千伏城东变电站，2回引自规划的220千伏大中变电站。远期本区由两座110千伏变电站（大珵变电站和上楼变电站）供电，</w:t>
      </w:r>
      <w:proofErr w:type="gramStart"/>
      <w:r w:rsidR="006D34E9" w:rsidRPr="006D34E9">
        <w:rPr>
          <w:rFonts w:ascii="宋体" w:hAnsi="宋体" w:hint="eastAsia"/>
          <w:spacing w:val="10"/>
          <w:sz w:val="24"/>
        </w:rPr>
        <w:t>总变电容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量为250MVA，全区110kV 容载比为1.99。</w:t>
      </w:r>
    </w:p>
    <w:p w:rsidR="00A808CE" w:rsidRDefault="00A808CE" w:rsidP="00A808CE">
      <w:pPr>
        <w:adjustRightInd w:val="0"/>
        <w:snapToGrid w:val="0"/>
        <w:spacing w:line="400" w:lineRule="exact"/>
        <w:ind w:firstLineChars="200" w:firstLine="520"/>
        <w:rPr>
          <w:rFonts w:ascii="宋体" w:hAnsi="宋体"/>
          <w:spacing w:val="10"/>
          <w:sz w:val="24"/>
        </w:rPr>
      </w:pPr>
      <w:r w:rsidRPr="006D34E9">
        <w:rPr>
          <w:rFonts w:ascii="宋体" w:hAnsi="宋体" w:hint="eastAsia"/>
          <w:spacing w:val="10"/>
          <w:sz w:val="24"/>
        </w:rPr>
        <w:lastRenderedPageBreak/>
        <w:t>5</w:t>
      </w:r>
      <w:r w:rsidR="00E97E45">
        <w:rPr>
          <w:rFonts w:ascii="宋体" w:hAnsi="宋体" w:hint="eastAsia"/>
          <w:spacing w:val="10"/>
          <w:sz w:val="24"/>
        </w:rPr>
        <w:t>、</w:t>
      </w:r>
      <w:r w:rsidRPr="006D34E9">
        <w:rPr>
          <w:rFonts w:ascii="宋体" w:hAnsi="宋体" w:hint="eastAsia"/>
          <w:spacing w:val="10"/>
          <w:sz w:val="24"/>
        </w:rPr>
        <w:t>通信工程规划：</w:t>
      </w:r>
      <w:r w:rsidR="006D34E9" w:rsidRPr="006D34E9">
        <w:rPr>
          <w:rFonts w:ascii="宋体" w:hAnsi="宋体" w:hint="eastAsia"/>
          <w:spacing w:val="10"/>
          <w:sz w:val="24"/>
        </w:rPr>
        <w:t>本区固定电话用户为2.37万线，移动电话用户为3.85万部，固定宽带用户为1.4万户。对现有的流水电信模块局进行扩容，远期容量为2.5万门。预测本区有线电视终端业务量为2.33万个。本区有线电视信号源引自平潭广电中心。同时</w:t>
      </w:r>
      <w:proofErr w:type="gramStart"/>
      <w:r w:rsidR="006D34E9" w:rsidRPr="006D34E9">
        <w:rPr>
          <w:rFonts w:ascii="宋体" w:hAnsi="宋体" w:hint="eastAsia"/>
          <w:spacing w:val="10"/>
          <w:sz w:val="24"/>
        </w:rPr>
        <w:t>全区需</w:t>
      </w:r>
      <w:proofErr w:type="gramEnd"/>
      <w:r w:rsidR="006D34E9" w:rsidRPr="006D34E9">
        <w:rPr>
          <w:rFonts w:ascii="宋体" w:hAnsi="宋体" w:hint="eastAsia"/>
          <w:spacing w:val="10"/>
          <w:sz w:val="24"/>
        </w:rPr>
        <w:t>新设6个广电接入机房，每个机房建筑面积30㎡。</w:t>
      </w:r>
    </w:p>
    <w:p w:rsidR="00DB017E" w:rsidRDefault="00DB017E" w:rsidP="00DB017E">
      <w:pPr>
        <w:adjustRightInd w:val="0"/>
        <w:snapToGrid w:val="0"/>
        <w:spacing w:line="400" w:lineRule="exact"/>
        <w:rPr>
          <w:rFonts w:ascii="宋体" w:hAnsi="宋体"/>
          <w:b/>
          <w:bCs/>
          <w:spacing w:val="4"/>
          <w:kern w:val="11"/>
          <w:sz w:val="24"/>
        </w:rPr>
      </w:pPr>
      <w:r>
        <w:rPr>
          <w:rFonts w:ascii="宋体" w:hAnsi="宋体" w:hint="eastAsia"/>
          <w:b/>
          <w:bCs/>
          <w:spacing w:val="4"/>
          <w:kern w:val="11"/>
          <w:sz w:val="24"/>
        </w:rPr>
        <w:t>六.主要规划图纸</w:t>
      </w:r>
    </w:p>
    <w:p w:rsidR="00DB017E" w:rsidRPr="00541DBE" w:rsidRDefault="00DB017E" w:rsidP="00DB017E">
      <w:pPr>
        <w:adjustRightInd w:val="0"/>
        <w:snapToGrid w:val="0"/>
        <w:spacing w:line="400" w:lineRule="exact"/>
        <w:ind w:firstLineChars="200" w:firstLine="520"/>
        <w:rPr>
          <w:rFonts w:ascii="宋体" w:eastAsia="宋体" w:hAnsi="宋体" w:cs="Times New Roman"/>
          <w:spacing w:val="10"/>
          <w:sz w:val="24"/>
          <w:szCs w:val="24"/>
        </w:rPr>
      </w:pPr>
      <w:r>
        <w:rPr>
          <w:rFonts w:ascii="宋体" w:hAnsi="宋体" w:hint="eastAsia"/>
          <w:spacing w:val="10"/>
          <w:sz w:val="24"/>
        </w:rPr>
        <w:t>主要规划图纸有：01区位分析图、02</w:t>
      </w:r>
      <w:r w:rsidRPr="00DB017E">
        <w:rPr>
          <w:rFonts w:ascii="宋体" w:hAnsi="宋体" w:hint="eastAsia"/>
          <w:spacing w:val="10"/>
          <w:sz w:val="24"/>
        </w:rPr>
        <w:t>规划结构分析图</w:t>
      </w:r>
      <w:r>
        <w:rPr>
          <w:rFonts w:ascii="宋体" w:hAnsi="宋体" w:hint="eastAsia"/>
          <w:spacing w:val="10"/>
          <w:sz w:val="24"/>
        </w:rPr>
        <w:t>、03</w:t>
      </w:r>
      <w:r w:rsidRPr="00DB017E">
        <w:rPr>
          <w:rFonts w:ascii="宋体" w:hAnsi="宋体" w:hint="eastAsia"/>
          <w:spacing w:val="10"/>
          <w:sz w:val="24"/>
        </w:rPr>
        <w:t>土地利用规划图</w:t>
      </w:r>
      <w:r>
        <w:rPr>
          <w:rFonts w:ascii="宋体" w:hAnsi="宋体" w:hint="eastAsia"/>
          <w:spacing w:val="10"/>
          <w:sz w:val="24"/>
        </w:rPr>
        <w:t>、04</w:t>
      </w:r>
      <w:r w:rsidRPr="00DB017E">
        <w:rPr>
          <w:rFonts w:ascii="宋体" w:hAnsi="宋体" w:hint="eastAsia"/>
          <w:spacing w:val="10"/>
          <w:sz w:val="24"/>
        </w:rPr>
        <w:t>绿地系统规划图</w:t>
      </w:r>
      <w:r>
        <w:rPr>
          <w:rFonts w:ascii="宋体" w:hAnsi="宋体" w:hint="eastAsia"/>
          <w:spacing w:val="10"/>
          <w:sz w:val="24"/>
        </w:rPr>
        <w:t>、05</w:t>
      </w:r>
      <w:r w:rsidRPr="00DB017E">
        <w:rPr>
          <w:rFonts w:ascii="宋体" w:hAnsi="宋体" w:hint="eastAsia"/>
          <w:spacing w:val="10"/>
          <w:sz w:val="24"/>
        </w:rPr>
        <w:t>景观结构规划图</w:t>
      </w:r>
      <w:r>
        <w:rPr>
          <w:rFonts w:ascii="宋体" w:hAnsi="宋体" w:hint="eastAsia"/>
          <w:spacing w:val="10"/>
          <w:sz w:val="24"/>
        </w:rPr>
        <w:t>、06</w:t>
      </w:r>
      <w:r w:rsidRPr="00DB017E">
        <w:rPr>
          <w:rFonts w:ascii="宋体" w:hAnsi="宋体" w:hint="eastAsia"/>
          <w:spacing w:val="10"/>
          <w:sz w:val="24"/>
        </w:rPr>
        <w:t>道路交通规划图</w:t>
      </w:r>
      <w:r>
        <w:rPr>
          <w:rFonts w:ascii="宋体" w:hAnsi="宋体" w:hint="eastAsia"/>
          <w:spacing w:val="10"/>
          <w:sz w:val="24"/>
        </w:rPr>
        <w:t>、07</w:t>
      </w:r>
      <w:r w:rsidRPr="00DB017E">
        <w:rPr>
          <w:rFonts w:ascii="宋体" w:hAnsi="宋体" w:hint="eastAsia"/>
          <w:spacing w:val="10"/>
          <w:sz w:val="24"/>
        </w:rPr>
        <w:t>慢行交通规划图</w:t>
      </w:r>
      <w:r>
        <w:rPr>
          <w:rFonts w:ascii="宋体" w:hAnsi="宋体" w:hint="eastAsia"/>
          <w:spacing w:val="10"/>
          <w:sz w:val="24"/>
        </w:rPr>
        <w:t>、08 给水工程规划图、09 污水工程规划图、10雨水工程规划图、11燃气工程规划图、12电力工程规划图、13</w:t>
      </w:r>
      <w:r w:rsidRPr="00DB017E">
        <w:rPr>
          <w:rFonts w:ascii="宋体" w:hAnsi="宋体" w:hint="eastAsia"/>
          <w:spacing w:val="10"/>
          <w:sz w:val="24"/>
        </w:rPr>
        <w:t>电</w:t>
      </w:r>
      <w:bookmarkStart w:id="0" w:name="_GoBack"/>
      <w:bookmarkEnd w:id="0"/>
      <w:r w:rsidRPr="00DB017E">
        <w:rPr>
          <w:rFonts w:ascii="宋体" w:hAnsi="宋体" w:hint="eastAsia"/>
          <w:spacing w:val="10"/>
          <w:sz w:val="24"/>
        </w:rPr>
        <w:t>力</w:t>
      </w:r>
      <w:proofErr w:type="gramStart"/>
      <w:r w:rsidRPr="00DB017E">
        <w:rPr>
          <w:rFonts w:ascii="宋体" w:hAnsi="宋体" w:hint="eastAsia"/>
          <w:spacing w:val="10"/>
          <w:sz w:val="24"/>
        </w:rPr>
        <w:t>高压网</w:t>
      </w:r>
      <w:proofErr w:type="gramEnd"/>
      <w:r w:rsidRPr="00DB017E">
        <w:rPr>
          <w:rFonts w:ascii="宋体" w:hAnsi="宋体" w:hint="eastAsia"/>
          <w:spacing w:val="10"/>
          <w:sz w:val="24"/>
        </w:rPr>
        <w:t>架图</w:t>
      </w:r>
      <w:r>
        <w:rPr>
          <w:rFonts w:ascii="宋体" w:hAnsi="宋体" w:hint="eastAsia"/>
          <w:spacing w:val="10"/>
          <w:sz w:val="24"/>
        </w:rPr>
        <w:t>、14通信工程规划图。</w:t>
      </w:r>
    </w:p>
    <w:sectPr w:rsidR="00DB017E" w:rsidRPr="00541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B0E" w:rsidRDefault="00EA0B0E" w:rsidP="00541DBE">
      <w:r>
        <w:separator/>
      </w:r>
    </w:p>
  </w:endnote>
  <w:endnote w:type="continuationSeparator" w:id="0">
    <w:p w:rsidR="00EA0B0E" w:rsidRDefault="00EA0B0E" w:rsidP="00541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B0E" w:rsidRDefault="00EA0B0E" w:rsidP="00541DBE">
      <w:r>
        <w:separator/>
      </w:r>
    </w:p>
  </w:footnote>
  <w:footnote w:type="continuationSeparator" w:id="0">
    <w:p w:rsidR="00EA0B0E" w:rsidRDefault="00EA0B0E" w:rsidP="00541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30A"/>
    <w:rsid w:val="002F41D3"/>
    <w:rsid w:val="003E0954"/>
    <w:rsid w:val="00536BA4"/>
    <w:rsid w:val="00541DBE"/>
    <w:rsid w:val="006D34E9"/>
    <w:rsid w:val="00A808CE"/>
    <w:rsid w:val="00C1035A"/>
    <w:rsid w:val="00DB017E"/>
    <w:rsid w:val="00E97E45"/>
    <w:rsid w:val="00EA0B0E"/>
    <w:rsid w:val="00F3430A"/>
    <w:rsid w:val="00FD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1D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1DB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1D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1DBE"/>
    <w:rPr>
      <w:sz w:val="18"/>
      <w:szCs w:val="18"/>
    </w:rPr>
  </w:style>
  <w:style w:type="paragraph" w:styleId="a5">
    <w:name w:val="Normal (Web)"/>
    <w:basedOn w:val="a"/>
    <w:uiPriority w:val="99"/>
    <w:rsid w:val="00541D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E97E4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97E4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1D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1DB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1D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1DBE"/>
    <w:rPr>
      <w:sz w:val="18"/>
      <w:szCs w:val="18"/>
    </w:rPr>
  </w:style>
  <w:style w:type="paragraph" w:styleId="a5">
    <w:name w:val="Normal (Web)"/>
    <w:basedOn w:val="a"/>
    <w:uiPriority w:val="99"/>
    <w:rsid w:val="00541D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E97E4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97E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389</Words>
  <Characters>2223</Characters>
  <Application>Microsoft Office Word</Application>
  <DocSecurity>0</DocSecurity>
  <Lines>18</Lines>
  <Paragraphs>5</Paragraphs>
  <ScaleCrop>false</ScaleCrop>
  <Company>Microsoft</Company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汪昭容</cp:lastModifiedBy>
  <cp:revision>8</cp:revision>
  <cp:lastPrinted>2020-05-25T07:14:00Z</cp:lastPrinted>
  <dcterms:created xsi:type="dcterms:W3CDTF">2020-05-25T01:29:00Z</dcterms:created>
  <dcterms:modified xsi:type="dcterms:W3CDTF">2020-05-25T07:15:00Z</dcterms:modified>
</cp:coreProperties>
</file>