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hint="eastAsia" w:ascii="宋体" w:hAnsi="宋体" w:eastAsia="宋体" w:cs="宋体"/>
          <w:b/>
          <w:bCs/>
          <w:kern w:val="0"/>
          <w:sz w:val="20"/>
          <w:szCs w:val="20"/>
        </w:rPr>
      </w:pPr>
    </w:p>
    <w:p>
      <w:pPr>
        <w:widowControl/>
        <w:jc w:val="center"/>
        <w:rPr>
          <w:rFonts w:hint="eastAsia" w:ascii="宋体" w:hAnsi="宋体" w:eastAsia="宋体" w:cs="宋体"/>
          <w:b/>
          <w:bCs/>
          <w:kern w:val="0"/>
          <w:sz w:val="20"/>
          <w:szCs w:val="20"/>
        </w:rPr>
      </w:pPr>
    </w:p>
    <w:p>
      <w:pPr>
        <w:widowControl/>
        <w:jc w:val="center"/>
        <w:rPr>
          <w:rFonts w:hint="eastAsia" w:ascii="宋体" w:hAnsi="宋体" w:eastAsia="宋体" w:cs="宋体"/>
          <w:b/>
          <w:bCs/>
          <w:kern w:val="0"/>
          <w:sz w:val="20"/>
          <w:szCs w:val="20"/>
        </w:rPr>
      </w:pPr>
    </w:p>
    <w:p>
      <w:pPr>
        <w:widowControl/>
        <w:jc w:val="center"/>
        <w:rPr>
          <w:rFonts w:hint="eastAsia" w:ascii="宋体" w:hAnsi="宋体" w:eastAsia="宋体" w:cs="宋体"/>
          <w:b/>
          <w:bCs/>
          <w:kern w:val="0"/>
          <w:sz w:val="20"/>
          <w:szCs w:val="20"/>
        </w:rPr>
      </w:pPr>
    </w:p>
    <w:p>
      <w:pPr>
        <w:ind w:firstLine="723" w:firstLineChars="200"/>
        <w:rPr>
          <w:rFonts w:hint="default" w:ascii="仿宋" w:hAnsi="仿宋" w:eastAsia="仿宋"/>
          <w:b/>
          <w:bCs/>
          <w:sz w:val="36"/>
          <w:szCs w:val="36"/>
          <w:lang w:val="en-US" w:eastAsia="zh-CN"/>
        </w:rPr>
      </w:pPr>
      <w:bookmarkStart w:id="0" w:name="_GoBack"/>
      <w:bookmarkEnd w:id="0"/>
      <w:r>
        <w:rPr>
          <w:rFonts w:hint="eastAsia" w:ascii="仿宋" w:hAnsi="仿宋" w:eastAsia="仿宋"/>
          <w:b/>
          <w:bCs/>
          <w:sz w:val="36"/>
          <w:szCs w:val="36"/>
          <w:lang w:val="en-US" w:eastAsia="zh-CN"/>
        </w:rPr>
        <w:t>平潭苏澳镇中心幼儿园智能化设计方案公示</w:t>
      </w:r>
    </w:p>
    <w:p>
      <w:pPr>
        <w:widowControl/>
        <w:jc w:val="center"/>
        <w:rPr>
          <w:rFonts w:hint="eastAsia" w:ascii="宋体" w:hAnsi="宋体" w:eastAsia="宋体" w:cs="宋体"/>
          <w:b/>
          <w:bCs/>
          <w:kern w:val="0"/>
          <w:sz w:val="20"/>
          <w:szCs w:val="20"/>
        </w:rPr>
      </w:pPr>
    </w:p>
    <w:tbl>
      <w:tblPr>
        <w:tblStyle w:val="4"/>
        <w:tblW w:w="0" w:type="auto"/>
        <w:tblInd w:w="0" w:type="dxa"/>
        <w:tblLayout w:type="autofit"/>
        <w:tblCellMar>
          <w:top w:w="0" w:type="dxa"/>
          <w:left w:w="108" w:type="dxa"/>
          <w:bottom w:w="0" w:type="dxa"/>
          <w:right w:w="108" w:type="dxa"/>
        </w:tblCellMar>
      </w:tblPr>
      <w:tblGrid>
        <w:gridCol w:w="837"/>
        <w:gridCol w:w="1421"/>
        <w:gridCol w:w="4536"/>
        <w:gridCol w:w="713"/>
        <w:gridCol w:w="779"/>
      </w:tblGrid>
      <w:tr>
        <w:tblPrEx>
          <w:tblCellMar>
            <w:top w:w="0" w:type="dxa"/>
            <w:left w:w="108" w:type="dxa"/>
            <w:bottom w:w="0" w:type="dxa"/>
            <w:right w:w="108" w:type="dxa"/>
          </w:tblCellMar>
        </w:tblPrEx>
        <w:trPr>
          <w:trHeight w:val="405" w:hRule="atLeast"/>
          <w:tblHeader/>
        </w:trPr>
        <w:tc>
          <w:tcPr>
            <w:tcW w:w="837" w:type="dxa"/>
            <w:tcBorders>
              <w:top w:val="single" w:color="auto" w:sz="8" w:space="0"/>
              <w:left w:val="single" w:color="auto" w:sz="8" w:space="0"/>
              <w:bottom w:val="single" w:color="auto" w:sz="4" w:space="0"/>
              <w:right w:val="single" w:color="auto" w:sz="4" w:space="0"/>
            </w:tcBorders>
            <w:shd w:val="clear" w:color="auto" w:fill="auto"/>
            <w:vAlign w:val="center"/>
          </w:tcPr>
          <w:p>
            <w:pPr>
              <w:widowControl/>
              <w:jc w:val="both"/>
              <w:rPr>
                <w:rFonts w:ascii="宋体" w:hAnsi="宋体" w:eastAsia="宋体" w:cs="宋体"/>
                <w:b/>
                <w:bCs/>
                <w:kern w:val="0"/>
                <w:sz w:val="20"/>
                <w:szCs w:val="20"/>
              </w:rPr>
            </w:pPr>
            <w:r>
              <w:rPr>
                <w:rFonts w:hint="eastAsia" w:ascii="宋体" w:hAnsi="宋体" w:eastAsia="宋体" w:cs="宋体"/>
                <w:b/>
                <w:bCs/>
                <w:kern w:val="0"/>
                <w:sz w:val="20"/>
                <w:szCs w:val="20"/>
              </w:rPr>
              <w:t>序号</w:t>
            </w:r>
          </w:p>
        </w:tc>
        <w:tc>
          <w:tcPr>
            <w:tcW w:w="1421"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kern w:val="0"/>
                <w:sz w:val="20"/>
                <w:szCs w:val="20"/>
              </w:rPr>
            </w:pPr>
            <w:r>
              <w:rPr>
                <w:rFonts w:hint="eastAsia" w:ascii="宋体" w:hAnsi="宋体" w:eastAsia="宋体" w:cs="宋体"/>
                <w:b/>
                <w:bCs/>
                <w:kern w:val="0"/>
                <w:sz w:val="20"/>
                <w:szCs w:val="20"/>
              </w:rPr>
              <w:t>货物名称</w:t>
            </w:r>
          </w:p>
        </w:tc>
        <w:tc>
          <w:tcPr>
            <w:tcW w:w="4536"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kern w:val="0"/>
                <w:sz w:val="20"/>
                <w:szCs w:val="20"/>
              </w:rPr>
            </w:pPr>
            <w:r>
              <w:rPr>
                <w:rFonts w:hint="eastAsia" w:ascii="宋体" w:hAnsi="宋体" w:eastAsia="宋体" w:cs="宋体"/>
                <w:b/>
                <w:bCs/>
                <w:kern w:val="0"/>
                <w:sz w:val="20"/>
                <w:szCs w:val="20"/>
              </w:rPr>
              <w:t>招标技术要求</w:t>
            </w:r>
          </w:p>
        </w:tc>
        <w:tc>
          <w:tcPr>
            <w:tcW w:w="713"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kern w:val="0"/>
                <w:sz w:val="20"/>
                <w:szCs w:val="20"/>
              </w:rPr>
            </w:pPr>
            <w:r>
              <w:rPr>
                <w:rFonts w:hint="eastAsia" w:ascii="宋体" w:hAnsi="宋体" w:eastAsia="宋体" w:cs="宋体"/>
                <w:b/>
                <w:bCs/>
                <w:kern w:val="0"/>
                <w:sz w:val="20"/>
                <w:szCs w:val="20"/>
              </w:rPr>
              <w:t>数量</w:t>
            </w:r>
          </w:p>
        </w:tc>
        <w:tc>
          <w:tcPr>
            <w:tcW w:w="779"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ascii="宋体" w:hAnsi="宋体" w:eastAsia="宋体" w:cs="宋体"/>
                <w:b/>
                <w:bCs/>
                <w:kern w:val="0"/>
                <w:sz w:val="20"/>
                <w:szCs w:val="20"/>
              </w:rPr>
            </w:pPr>
            <w:r>
              <w:rPr>
                <w:rFonts w:hint="eastAsia" w:ascii="宋体" w:hAnsi="宋体" w:eastAsia="宋体" w:cs="宋体"/>
                <w:b/>
                <w:bCs/>
                <w:kern w:val="0"/>
                <w:sz w:val="20"/>
                <w:szCs w:val="20"/>
              </w:rPr>
              <w:t>单位</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1、综合布线系统</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1.1语音网</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六类非屏蔽模块</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1、性能符合ANST/TIA-568-C.2-2009和GB/T 50312-2016六类标准；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2、8芯针触点均使用在100微英寸金属导针的镍层上敷有50微英寸的镀金层材料；</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3、阻燃性能达到UL94V-0级别；</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4、磷青铜镀金金针和磷青铜镀锌卡线端子，具有优异的抗腐蚀性能，可通过48h盐雾试验；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5、电气性能：耐压强度：DC1000V(AC750V)1min无击穿和飞弧现象；额定电流：1.5Amp；绝缘电阻≥200MΩ；接触电阻≤1MΩ；连续电抗：20MΩ；工作温度：-25℃～70℃。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6、物理特性：传输带宽大于250MHz；IDC端子卡接22～26AWG导体；IDC打线柱耐用性大于250次端接。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六类非屏蔽双绞线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1、性能符合ANST/TIA-568-C.2-2009、GB/T 50312-2016、IEC 61156-5六类标准。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2、可以传输数字、语音、数据和视频信号，满足高端需求尤其适合所有D、E级链路和六类的应用，包括ISDN，10/100/1000兆快速以太网， 4/16Mbit/s令牌环，TP-PMD/TP-DDI 125 Mbit/s,ATM155Mbit/s。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3、绝缘层材料为高密度聚乙烯（HDPE），外护套材料为PVC。物理特性：传输带宽大于250MHz；23AWG线规。</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4、电气性能：工作电容≤5.6 nF/100米；线对对地电容不平衡≤330 pF/100米；额定传输速率（NVP)：65% ；线对时延差≤45ns/100米；线对直流不平衡电阻≤2%。</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箱</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六类24口非屏蔽配线架(含模块)</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1、性能符合ANST/TIA-568-C.2-2009和GB/T 50312-2016六类标准；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2、磷青铜镀金金针和磷青铜镀锌卡线端子；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3、模块化设计，可同时适用铜缆、有线电视、光纤模块，节约成本；</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4、电气性能：耐压强度：DC1000V(AC750V)1min 无击穿和飞弧现象；额定电流：1.5Amp；绝缘电阻≥200MΩ；接触电阻≤1MΩ；连续电抗：20MΩ；工作温度：-25℃～70℃；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5、物理特性：传输带宽大于250MHz；IDC端子卡接22～26AWG导体；IDC打线柱耐用性大于250次端接。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水平理线架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1、符合GB/T3047.1-95安装标准，为配线架、跳线架及设备连接的跳线提供有效辅助管理；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2、采用优质冷轧钢板冲压成型后进行喷塑处理，避免划伤线缆，提高承重力；</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3、均匀琴键式理线槽位，保证跳线良好的弯曲，确保传输性能；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4、可拆卸盖板设计。</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100对110机架式配线架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1、110连接端子有4对和5对两种规格可选择，标准配置为20个4对连接端子和4个5对连接端子；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2、电气性能：耐压强度： DC1000V(AC750V)1min 无击穿和飞弧；绝缘电阻≥1000MΩ；接触电阻≤2.5MΩ；连续电抗： 20MΩ；工作温度： -25℃～70℃；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3、物理特性：传输带宽大于100MHz；IDC端子卡接22～26AWG导体；IDC打线柱耐用性大于250次端接。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三类25对大对数电缆</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1、性能符合ANST/TIA-568-C.2-2009和GB/T 50312-2016标准；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2、绝缘层材料为高密度聚乙烯（HDPE）；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3、外护套材料为PE阻水材料。</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语音跳线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1、性能符合ANST/TIA-568-C.2-2009和GB/T 50312-2016标准；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2、适用于设备间或水平子系统的现场端接，压接头有1、2、4对。</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条</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1.2校园网</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六类非屏蔽模块</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1、性能符合ANST/TIA-568-C.2-2009和GB/T 50312-2016六类标准；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2、8芯针触点均使用在100微英寸金属导针的镍层上敷有50微英寸的镀金层材料；</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3、阻燃性能达到UL94V-0级别；</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4、磷青铜镀金金针和磷青铜镀锌卡线端子，具有优异的抗腐蚀性能，可通过48h盐雾试验；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5、电气性能：耐压强度：DC1000V(AC750V)1min无击穿和飞弧现象；额定电流：1.5Amp；绝缘电阻≥200MΩ；接触电阻≤1MΩ；连续电抗：20MΩ；工作温度：-25℃～70℃。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6、物理特性：传输带宽大于250MHz；IDC端子卡接22～26AWG导体；IDC打线柱耐用性大于250次端接。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140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双口面板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1、可以支持RJ45 Keystone型信息模块，兼容光纤、电视等多媒体信息模块。</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2、带有标识条，方便编号管理和维护使用。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3、面板表面带嵌入式图表及标签位置，灵活而又独特的语音、数据互换设计，方便用户装卸更换。</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 组合式双层面板，带面板弹簧门设计，防水防尘。</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单口面板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1、可以支持RJ45 Keystone型信息模块，兼容光纤、电视等多媒体信息模块。</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2、带有标识条，方便编号管理和维护使用。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3、面板表面带嵌入式图表及标签位置，灵活而又独特的语音、数据互换设计，方便用户装卸更换。</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4、组合式双层面板，带面板弹簧门设计，防水防尘。</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48</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86底盒</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86型</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六类非屏蔽双绞线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1、性能符合ANST/TIA-568-C.2-2009、GB/T 50312-2016、IEC 61156-5六类标准。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2、可以传输数字、语音、数据和视频信号，满足高端需求尤其适合所有D、E级链路和六类的应用，包括ISDN，10/100/1000兆快速以太网， 4/16Mbit/s令牌环，TP-PMD/TP-DDI 125 Mbit/s,ATM155Mbit/s。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3、绝缘层材料为高密度聚乙烯（HDPE），外护套材料为PVC。物理特性：传输带宽大于250MHz；23AWG线规。</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4、电气性能：工作电容≤5.6 nF/100米；线对对地电容不平衡≤330 pF/100米；额定传输速率（NVP)：65% ；线对时延差≤45ns/100米；线对直流不平衡电阻≤2%。</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箱</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六类24口非屏蔽配线架(含模块)</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1、性能符合ANST/TIA-568-C.2-2009和GB/T 50312-2016六类标准；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2、磷青铜镀金金针和磷青铜镀锌卡线端子；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3、模块化设计，可同时适用铜缆、有线电视、光纤模块，节约成本；</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4、电气性能：耐压强度：DC1000V(AC750V)1min 无击穿和飞弧现象；额定电流：1.5Amp；绝缘电阻≥200MΩ；接触电阻≤1MΩ；连续电抗：20MΩ；工作温度：-25℃～70℃；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5、物理特性：传输带宽大于250MHz；IDC端子卡接22～26AWG导体；IDC打线柱耐用性大于250次端接。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水平理线架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19英寸机架标准设计，采用优质金属制成，防老化、不损伤跳线。</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六类非屏蔽数据跳线(2米)</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 性能符合ANST/TIA-568-C.2-2009和GB/T 50312-2016六类标准；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2、采用六类多股非屏蔽阻燃线缆和六类RJ45水晶头制做而成；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3、采用7*0.12mm的多股无氧铜线；</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4、可定制不同长度、颜色的跳线，外护套可使用不同阻燃等级材料或低烟无卤材料；</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5、多种颜色可供选择，方便区分、管理不同网络的应用；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6、传输带宽大于250MHz；插头与插座插拔次数大于1500次；工作温度：-20℃～70℃；最小弯曲半径：4D。</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140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条</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12口光纤配线架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1、符合GB/T 50312标准。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2、适用于光纤接入网中的光纤终端点，具有光缆的配线和熔接功能，可以实现光缆纤芯的灵活跳线及存储，兼容ST、SC、FC及LC光纤藕合器接口；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3、箱体采用优质冷轧钢板材料，表面环氧静电喷塑处理，外形美观；</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4、19英寸标准网络机柜安装，尾纤收容设置于机架内，用于纤熔接或研磨处理；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5、配线架的开启方式为免工具设计，易于维护和管理；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6、全封闭式结构，光纤跳线不外露，外观整洁有序，防尘效果好。</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4口光纤配线架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1、符合GB/T 50312标准。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2、适用于光纤接入网中的光纤终端点，具有光缆的配线和熔接功能，可以实现光缆纤芯的灵活跳线及存储，兼容ST、SC、FC及LC光纤藕合器接口；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3、箱体采用优质冷轧钢板材料，表面环氧静电喷塑处理，外形美观；</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4、19英寸标准网络机柜安装，尾纤收容设置于机架内，用于纤熔接或研磨处理；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5、配线架的开启方式为免工具设计，易于维护和管理；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6、全封闭式结构，光纤跳线不外露，外观整洁有序，防尘效果好。</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24口光纤配线架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1、符合GB/T 50312标准。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2、适用于光纤接入网中的光纤终端点，具有光缆的配线和熔接功能，可以实现光缆纤芯的灵活跳线及存储，兼容ST、SC、FC及LC光纤藕合器接口；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3、箱体采用优质冷轧钢板材料，表面环氧静电喷塑处理，外形美观；</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4、19英寸标准网络机柜安装，尾纤收容设置于机架内，用于纤熔接或研磨处理；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5、配线架的开启方式为免工具设计，易于维护和管理；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6、全封闭式结构，光纤跳线不外露，外观整洁有序，防尘效果好。</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室内12芯万兆单模光纤</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 符合GB/T 50312-2016标准；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 采用G.652D单模光纤，衰减系数：≤0.36dB/km（1310nm）；≤0.22dB/km（1550nm）；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 采用高强度玻璃纱加强件，可有效防止鼠咬，并确保光纤传输特性长期稳定；</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 两根平行FRP件保证光缆的抗拉强度；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 外径小，重量轻，易剥离，衰减小，并具有高柔软性；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 外护套使用的PE护套，具有很好的抗紫外线能力，和一定抗压扁力；</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 采用非金属全介质结构，可有效用于雷电频繁和存在干扰电流的场所；</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 传输距离：千兆1000Base-LX 5000米，万兆10GBase-LX4 1000米，万兆10GBase-E 40000米，万兆10GBase-L 10000米。</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室内4芯万兆单模光纤</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 符合GB/T 50312-2016标准；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 采用G.652D单模光纤，衰减系数：≤0.36dB/km（1310nm）；≤0.22dB/km（1550nm）；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 采用高强度玻璃纱加强件，可有效防止鼠咬，并确保光纤传输特性长期稳定；</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 两根平行FRP件保证光缆的抗拉强度；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 外径小，重量轻，易剥离，衰减小，并具有高柔软性；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 外护套使用的PE护套，具有很好的抗紫外线能力，和一定抗压扁力；</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 采用非金属全介质结构，可有效用于雷电频繁和存在干扰电流的场所；</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 传输距离：千兆1000Base-LX 5000米，万兆10GBase-LX4 1000米，万兆10GBase-E 40000米，万兆10GBase-L 10000米。</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450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单模LC尾纤</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 符合GB/T 50312-2016标准；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 单模9/125；插入损耗≤0.2db；温度范围-40℃~+85℃；重复性≤0.2db；互换性≤0.2db；回波损耗≥45db；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 采用低插入损耗和反射的优质材质，具有很好的光学性能，可以和适配器实现简单安装，增强性和抗拉设计提供有效了较高的机械稳定性，良好的稳定性能，连续插拔试验插损小。</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条</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3米LC-LC双芯单模光纤跳线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1、单模9/125；插入损耗≤0.2db；温度范围-40℃~+85℃；重复性≤0.2db；互换性≤0.2db；回波损耗≥45db；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 采用低插入损耗和反射的优质材质，具有很好的光学性能，可以和适配器实现简单安装，增强性和抗拉设计提供有效了较高的机械稳定性。良好的稳定性能，连续插拔试验插损小。</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条</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光纤熔接</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光纤熔接。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芯</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1.3弱电间机柜</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42U机柜</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600*800*2000mm</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22U机柜</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600*600*1200mm</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1.4室外总平管网</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室外防水箱</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600*450*500mm</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JDG管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DN20</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2250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墙面开槽及恢复</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墙面开槽及恢复</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920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总平草地开挖</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总平草地开挖</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400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金属软管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0.5m ,DN20。</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根</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接线盒</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86型</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200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2、计算机网络系统</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2.1、校园网</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32</w:t>
            </w:r>
          </w:p>
        </w:tc>
        <w:tc>
          <w:tcPr>
            <w:tcW w:w="142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核心交换机（含无线控制器功能）</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1、交换容量≥7.58Tbps，包转发率≥426Mpps；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2、为了提高设备可靠性，支持并配置可插拔的双电源；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3、支持10/100/1000Base-T以太网接口≥24个，万兆SFP+接口≥12个；</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4、支持MAC地址≥32K，IPv4路由表≥16K，IPv6路由表≥8K，提供权威第三方测试报告；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5、支持4K个VLAN，支持Guest VLAN、Voice VLAN，支持基于MAC/协议/IP子网/策略/端口的VLAN，1:1和N:1 VLAN交换功能；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6、支持静态路由、RIP v1/v2、OSPF、BGP、ISIS、RIPng、OSPFv3、ISISv6、BGP4+；</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7、支持策略路由、路由策略、VRRP、BFD for OSPF、BGP、IS-IS、Static Route，支持IPv6、支持IPv4/IPv6双栈、IPv6 over IPv4隧道、IPv4 over IPv6隧道；</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8、支持VxLAN功能，支持BGP EVPN，支持分布式 Anycast 网关，支持VxLAN的自动化部署，提供权威第三方测试报告；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9、支持DRR、SP、DRR+SP调度方式，支持双向端口限速，广播风暴抑制功能；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10、支持DHCPv6 Snooping，IP Source Guard，SAVI等安全特性，支持防ARP攻击、DOS攻击、ICMP防攻击、CPU防攻击；</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11、交换机支持报告攻击事件给网络安全智能系统，与网络安全智能系统和SDN控制器联动，以实现全网安全协防，提供权威第三方测试报告；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12、交换机支持将IP和端口扫描流量重定向给网络安全智能系统进行诱捕，与网络安全智能系统和SDN控制器联动实施反制措施，以实现网络安全协防，提供权威第三方测试报告；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13、支持G.8032标准以太环网协议，倒换时间≤50ms；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14、支持真实业务流实时检测技术，实时检测网络故障；</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15、支持堆叠，主机堆叠数不小于9台；</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16、对外开放接口可按需编写基于特定事件的可执行Python脚本，实现设备智能化管理，降低运维成本和操作的复杂度；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17、支持ETH OAM、802.1ag、802.3ah、Y.1731、BFD；</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18、支持SNMP v1/v2/v3、Telnet、RMON、SSH，支持通过命令行、Web、中文图形化配置软件等方式进行配置和管理；</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24口接入交换机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1、交换容量≥3.36Tbps,包转发率≥126Mpps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2、千兆电口≥24个，千兆SFP≥4个，配置标准USB接口≥1，支持U盘快速开局</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3、支持4K个VLAN，支持Voice VLAN，基于端口的VLAN，基于MAC的VLAN，基于协议的VLAN</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4、支持通过命令行、Web、中文图形化配置软件等方式进行配置和管理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5、支持Telemetry技术，配合网络分析组件通过智能故障识别算法对网络数据进行分析，精准展现网络实时状态，并能及时有效地定界故障以及定位故障发生原因，发现影响用户体验的网络问题，精准保障用户体验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6、支持音视频业务的智能运维，将设备作为监控节点周期统计并上报音视频业务类指标参数至网络分析组件引擎，由网络分析组件引擎结合多个节点的监控结果，对音视频业务质量类故障进行快速定界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7、支持基于Python语言的开放可编程系统，可以通过Python脚本对交换机进行运维功能的编程，快速实现功能创新，实现智能化运维。</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 802.3az 能效以太网 EEE，节能环保</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9、为保证设备稳定性，接入交换机需与核心交换机同一品牌</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48口接入交换机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1、交换容量≥4.32Tbps,包转发率≥166Mpps；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2、千兆电口≥48个，千兆SFP≥4个，配置标准USB接口≥1，支持U盘快速开局；</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3、支持4K个VLAN，支持Voice VLAN，基于端口的VLAN，基于MAC的VLAN，基于协议的VLAN；</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4、支持通过命令行、Web、中文图形化配置软件等方式进行配置和管理；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Telemetry技术，配合网络分析组件通过智能故障识别算法对网络数据进行分析，精准展现网络实时状态，并能及时有效地定界故障以及定位故障发生原因，发现影响用户体验的网络问题，精准保障用户体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6、支持音视频业务的智能运维，将设备作为监控节点周期统计并上报音视频业务类指标参数至网络分析组件引擎，由网络分析组件引擎结合多个节点的监控结果，对音视频业务质量类故障进行快速定界；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7、支持基于Python语言的开放可编程系统，可以通过Python脚本对交换机进行运维功能的编程，快速实现功能创新，实现智能化运维；</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 802.3az 能效以太网 EEE，节能环保；</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9、为保证设备稳定性，接入交换机需与核心交换机同一品牌</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8口POE交换机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1、交换容量≥3.36Tbps,包转发率≥108Mpps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2、千兆电口≥12个，千兆SFP≥4个，配置标准USB接口≥1，支持U盘快速开局</w:t>
            </w:r>
            <w:r>
              <w:rPr>
                <w:rFonts w:hint="eastAsia" w:ascii="宋体" w:hAnsi="宋体" w:eastAsia="宋体" w:cs="宋体"/>
                <w:kern w:val="0"/>
                <w:sz w:val="20"/>
                <w:szCs w:val="20"/>
              </w:rPr>
              <w:br w:type="textWrapping"/>
            </w:r>
            <w:r>
              <w:rPr>
                <w:rFonts w:ascii="宋体" w:hAnsi="宋体" w:eastAsia="宋体" w:cs="宋体"/>
                <w:kern w:val="0"/>
                <w:sz w:val="20"/>
                <w:szCs w:val="20"/>
              </w:rPr>
              <w:t>3</w:t>
            </w:r>
            <w:r>
              <w:rPr>
                <w:rFonts w:hint="eastAsia" w:ascii="宋体" w:hAnsi="宋体" w:eastAsia="宋体" w:cs="宋体"/>
                <w:kern w:val="0"/>
                <w:sz w:val="20"/>
                <w:szCs w:val="20"/>
              </w:rPr>
              <w:t>、支持快速POE功能，当交换机电源上电时，支持秒级实现对PD设备的供电</w:t>
            </w:r>
            <w:r>
              <w:rPr>
                <w:rFonts w:hint="eastAsia" w:ascii="宋体" w:hAnsi="宋体" w:eastAsia="宋体" w:cs="宋体"/>
                <w:kern w:val="0"/>
                <w:sz w:val="20"/>
                <w:szCs w:val="20"/>
              </w:rPr>
              <w:br w:type="textWrapping"/>
            </w:r>
            <w:r>
              <w:rPr>
                <w:rFonts w:ascii="宋体" w:hAnsi="宋体" w:eastAsia="宋体" w:cs="宋体"/>
                <w:kern w:val="0"/>
                <w:sz w:val="20"/>
                <w:szCs w:val="20"/>
              </w:rPr>
              <w:t>4</w:t>
            </w:r>
            <w:r>
              <w:rPr>
                <w:rFonts w:hint="eastAsia" w:ascii="宋体" w:hAnsi="宋体" w:eastAsia="宋体" w:cs="宋体"/>
                <w:kern w:val="0"/>
                <w:sz w:val="20"/>
                <w:szCs w:val="20"/>
              </w:rPr>
              <w:t>、支持MAC地址≥16K,支持ARP表项≥4K</w:t>
            </w:r>
            <w:r>
              <w:rPr>
                <w:rFonts w:hint="eastAsia" w:ascii="宋体" w:hAnsi="宋体" w:eastAsia="宋体" w:cs="宋体"/>
                <w:kern w:val="0"/>
                <w:sz w:val="20"/>
                <w:szCs w:val="20"/>
              </w:rPr>
              <w:br w:type="textWrapping"/>
            </w:r>
            <w:r>
              <w:rPr>
                <w:rFonts w:ascii="宋体" w:hAnsi="宋体" w:eastAsia="宋体" w:cs="宋体"/>
                <w:kern w:val="0"/>
                <w:sz w:val="20"/>
                <w:szCs w:val="20"/>
              </w:rPr>
              <w:t>5</w:t>
            </w:r>
            <w:r>
              <w:rPr>
                <w:rFonts w:hint="eastAsia" w:ascii="宋体" w:hAnsi="宋体" w:eastAsia="宋体" w:cs="宋体"/>
                <w:kern w:val="0"/>
                <w:sz w:val="20"/>
                <w:szCs w:val="20"/>
              </w:rPr>
              <w:t>、支持4K个VLAN，支持Voice VLAN，基于端口的VLAN，基于MAC的VLAN，基于协议的VLAN</w:t>
            </w:r>
            <w:r>
              <w:rPr>
                <w:rFonts w:hint="eastAsia" w:ascii="宋体" w:hAnsi="宋体" w:eastAsia="宋体" w:cs="宋体"/>
                <w:kern w:val="0"/>
                <w:sz w:val="20"/>
                <w:szCs w:val="20"/>
              </w:rPr>
              <w:br w:type="textWrapping"/>
            </w:r>
            <w:r>
              <w:rPr>
                <w:rFonts w:ascii="宋体" w:hAnsi="宋体" w:eastAsia="宋体" w:cs="宋体"/>
                <w:kern w:val="0"/>
                <w:sz w:val="20"/>
                <w:szCs w:val="20"/>
              </w:rPr>
              <w:t>6</w:t>
            </w:r>
            <w:r>
              <w:rPr>
                <w:rFonts w:hint="eastAsia" w:ascii="宋体" w:hAnsi="宋体" w:eastAsia="宋体" w:cs="宋体"/>
                <w:kern w:val="0"/>
                <w:sz w:val="20"/>
                <w:szCs w:val="20"/>
              </w:rPr>
              <w:t>、支持通过命令行、Web、中文图形化配置软件等方式进行配置和管理</w:t>
            </w:r>
            <w:r>
              <w:rPr>
                <w:rFonts w:hint="eastAsia" w:ascii="宋体" w:hAnsi="宋体" w:eastAsia="宋体" w:cs="宋体"/>
                <w:kern w:val="0"/>
                <w:sz w:val="20"/>
                <w:szCs w:val="20"/>
              </w:rPr>
              <w:br w:type="textWrapping"/>
            </w:r>
            <w:r>
              <w:rPr>
                <w:rFonts w:ascii="宋体" w:hAnsi="宋体" w:eastAsia="宋体" w:cs="宋体"/>
                <w:kern w:val="0"/>
                <w:sz w:val="20"/>
                <w:szCs w:val="20"/>
              </w:rPr>
              <w:t>7</w:t>
            </w:r>
            <w:r>
              <w:rPr>
                <w:rFonts w:hint="eastAsia" w:ascii="宋体" w:hAnsi="宋体" w:eastAsia="宋体" w:cs="宋体"/>
                <w:kern w:val="0"/>
                <w:sz w:val="20"/>
                <w:szCs w:val="20"/>
              </w:rPr>
              <w:t>、支持 802.3az 能效以太网 EEE，节能环保</w:t>
            </w:r>
            <w:r>
              <w:rPr>
                <w:rFonts w:hint="eastAsia" w:ascii="宋体" w:hAnsi="宋体" w:eastAsia="宋体" w:cs="宋体"/>
                <w:kern w:val="0"/>
                <w:sz w:val="20"/>
                <w:szCs w:val="20"/>
              </w:rPr>
              <w:br w:type="textWrapping"/>
            </w:r>
            <w:r>
              <w:rPr>
                <w:rFonts w:ascii="宋体" w:hAnsi="宋体" w:eastAsia="宋体" w:cs="宋体"/>
                <w:kern w:val="0"/>
                <w:sz w:val="20"/>
                <w:szCs w:val="20"/>
              </w:rPr>
              <w:t>8</w:t>
            </w:r>
            <w:r>
              <w:rPr>
                <w:rFonts w:hint="eastAsia" w:ascii="宋体" w:hAnsi="宋体" w:eastAsia="宋体" w:cs="宋体"/>
                <w:kern w:val="0"/>
                <w:sz w:val="20"/>
                <w:szCs w:val="20"/>
              </w:rPr>
              <w:t>、为保证设备稳定性，接入交换机需与核心交换机同一品牌</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24口POE交换机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1、交换容量≥3.36Tbps,包转发率≥126Mpps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2、千兆电口≥24个，千兆SFP≥4个，配置标准USB接口≥1，支持U盘快速开局</w:t>
            </w:r>
            <w:r>
              <w:rPr>
                <w:rFonts w:hint="eastAsia" w:ascii="宋体" w:hAnsi="宋体" w:eastAsia="宋体" w:cs="宋体"/>
                <w:kern w:val="0"/>
                <w:sz w:val="20"/>
                <w:szCs w:val="20"/>
              </w:rPr>
              <w:br w:type="textWrapping"/>
            </w:r>
            <w:r>
              <w:rPr>
                <w:rFonts w:ascii="宋体" w:hAnsi="宋体" w:eastAsia="宋体" w:cs="宋体"/>
                <w:kern w:val="0"/>
                <w:sz w:val="20"/>
                <w:szCs w:val="20"/>
              </w:rPr>
              <w:t>3</w:t>
            </w:r>
            <w:r>
              <w:rPr>
                <w:rFonts w:hint="eastAsia" w:ascii="宋体" w:hAnsi="宋体" w:eastAsia="宋体" w:cs="宋体"/>
                <w:kern w:val="0"/>
                <w:sz w:val="20"/>
                <w:szCs w:val="20"/>
              </w:rPr>
              <w:t>、支持快速POE功能，当交换机电源上电时，支持秒级实现对PD设备的供电</w:t>
            </w:r>
            <w:r>
              <w:rPr>
                <w:rFonts w:hint="eastAsia" w:ascii="宋体" w:hAnsi="宋体" w:eastAsia="宋体" w:cs="宋体"/>
                <w:kern w:val="0"/>
                <w:sz w:val="20"/>
                <w:szCs w:val="20"/>
              </w:rPr>
              <w:br w:type="textWrapping"/>
            </w:r>
            <w:r>
              <w:rPr>
                <w:rFonts w:ascii="宋体" w:hAnsi="宋体" w:eastAsia="宋体" w:cs="宋体"/>
                <w:kern w:val="0"/>
                <w:sz w:val="20"/>
                <w:szCs w:val="20"/>
              </w:rPr>
              <w:t>4</w:t>
            </w:r>
            <w:r>
              <w:rPr>
                <w:rFonts w:hint="eastAsia" w:ascii="宋体" w:hAnsi="宋体" w:eastAsia="宋体" w:cs="宋体"/>
                <w:kern w:val="0"/>
                <w:sz w:val="20"/>
                <w:szCs w:val="20"/>
              </w:rPr>
              <w:t>、支持MAC地址≥16K,支持ARP表项≥4K</w:t>
            </w:r>
            <w:r>
              <w:rPr>
                <w:rFonts w:hint="eastAsia" w:ascii="宋体" w:hAnsi="宋体" w:eastAsia="宋体" w:cs="宋体"/>
                <w:kern w:val="0"/>
                <w:sz w:val="20"/>
                <w:szCs w:val="20"/>
              </w:rPr>
              <w:br w:type="textWrapping"/>
            </w:r>
            <w:r>
              <w:rPr>
                <w:rFonts w:ascii="宋体" w:hAnsi="宋体" w:eastAsia="宋体" w:cs="宋体"/>
                <w:kern w:val="0"/>
                <w:sz w:val="20"/>
                <w:szCs w:val="20"/>
              </w:rPr>
              <w:t>5</w:t>
            </w:r>
            <w:r>
              <w:rPr>
                <w:rFonts w:hint="eastAsia" w:ascii="宋体" w:hAnsi="宋体" w:eastAsia="宋体" w:cs="宋体"/>
                <w:kern w:val="0"/>
                <w:sz w:val="20"/>
                <w:szCs w:val="20"/>
              </w:rPr>
              <w:t>、支持4K个VLAN，支持Voice VLAN，基于端口的VLAN，基于MAC的VLAN，基于协议的VLAN</w:t>
            </w:r>
            <w:r>
              <w:rPr>
                <w:rFonts w:hint="eastAsia" w:ascii="宋体" w:hAnsi="宋体" w:eastAsia="宋体" w:cs="宋体"/>
                <w:kern w:val="0"/>
                <w:sz w:val="20"/>
                <w:szCs w:val="20"/>
              </w:rPr>
              <w:br w:type="textWrapping"/>
            </w:r>
            <w:r>
              <w:rPr>
                <w:rFonts w:ascii="宋体" w:hAnsi="宋体" w:eastAsia="宋体" w:cs="宋体"/>
                <w:kern w:val="0"/>
                <w:sz w:val="20"/>
                <w:szCs w:val="20"/>
              </w:rPr>
              <w:t>6</w:t>
            </w:r>
            <w:r>
              <w:rPr>
                <w:rFonts w:hint="eastAsia" w:ascii="宋体" w:hAnsi="宋体" w:eastAsia="宋体" w:cs="宋体"/>
                <w:kern w:val="0"/>
                <w:sz w:val="20"/>
                <w:szCs w:val="20"/>
              </w:rPr>
              <w:t>、支持通过命令行、Web、中文图形化配置软件等方式进行配置和管理</w:t>
            </w:r>
            <w:r>
              <w:rPr>
                <w:rFonts w:hint="eastAsia" w:ascii="宋体" w:hAnsi="宋体" w:eastAsia="宋体" w:cs="宋体"/>
                <w:kern w:val="0"/>
                <w:sz w:val="20"/>
                <w:szCs w:val="20"/>
              </w:rPr>
              <w:br w:type="textWrapping"/>
            </w:r>
            <w:r>
              <w:rPr>
                <w:rFonts w:ascii="宋体" w:hAnsi="宋体" w:eastAsia="宋体" w:cs="宋体"/>
                <w:kern w:val="0"/>
                <w:sz w:val="20"/>
                <w:szCs w:val="20"/>
              </w:rPr>
              <w:t>7</w:t>
            </w:r>
            <w:r>
              <w:rPr>
                <w:rFonts w:hint="eastAsia" w:ascii="宋体" w:hAnsi="宋体" w:eastAsia="宋体" w:cs="宋体"/>
                <w:kern w:val="0"/>
                <w:sz w:val="20"/>
                <w:szCs w:val="20"/>
              </w:rPr>
              <w:t>、支持 802.3az 能效以太网 EEE，节能环保</w:t>
            </w:r>
            <w:r>
              <w:rPr>
                <w:rFonts w:hint="eastAsia" w:ascii="宋体" w:hAnsi="宋体" w:eastAsia="宋体" w:cs="宋体"/>
                <w:kern w:val="0"/>
                <w:sz w:val="20"/>
                <w:szCs w:val="20"/>
              </w:rPr>
              <w:br w:type="textWrapping"/>
            </w:r>
            <w:r>
              <w:rPr>
                <w:rFonts w:ascii="宋体" w:hAnsi="宋体" w:eastAsia="宋体" w:cs="宋体"/>
                <w:kern w:val="0"/>
                <w:sz w:val="20"/>
                <w:szCs w:val="20"/>
              </w:rPr>
              <w:t>8</w:t>
            </w:r>
            <w:r>
              <w:rPr>
                <w:rFonts w:hint="eastAsia" w:ascii="宋体" w:hAnsi="宋体" w:eastAsia="宋体" w:cs="宋体"/>
                <w:kern w:val="0"/>
                <w:sz w:val="20"/>
                <w:szCs w:val="20"/>
              </w:rPr>
              <w:t>、为保证设备稳定性，接入交换机需与核心交换机同一品牌</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37</w:t>
            </w:r>
          </w:p>
        </w:tc>
        <w:tc>
          <w:tcPr>
            <w:tcW w:w="142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千兆光纤模块</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光模块-eSFP-GE-单模模块(1310nm,10km,LC)</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无线AP</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1、固化千兆电口≥1；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2、支持IEEE 802.11AC标准；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3、支持2×2MIMO，支持速率达1.167Gbps；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4、基于Wi-Fi多媒体标准的映射及优先级调度规则，实现基于优先级的数据处理和转发；</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5、支持信道自动扫描功能，自动规避干扰；</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6、防水等级≥IP41。</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防火墙</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1、千兆Combo接口≥8；</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2、万兆光口≥2；</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3、千兆WAN口≥2；</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4、配置1个电源，可扩展双电源。</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2.2、智能化专网</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核心交换机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1、最少提供24个10/100/1000Base-X光口，4个10G Base-X SFP+万兆光口；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2、支持CLI(Console/AUX Modem/Telnet/SSH2.0)命令行配置，支持SNMP、RMON 等网管功能；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3、交换容量≧256Gbps，包转发速率≧96MPPS；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4、支持基于端口、MAC、协议的VLAN，支持GVRP协议，支持QinQ、灵活OinQ、VLAN Mapping；</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5、支持STP/RSTP/MSTP生成树协议；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6、支持GE/10G端口聚合,支持LACP动态和手动聚合，支持跨设备聚合；</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7、支持L2~L4包过滤功能，支持多种灵活ACL策略；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8、支持IPv4 IPv6双协议栈，支持IPv4/IPv6静态路由，RIP v1/v2，RIPng、 OSPF ；v1/v2/v3；</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9、支持IGMP Snooping、MLD Snooping、组播VLAN；</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10、支持通过标准以太网接口进行堆叠、支持本地堆叠和远程堆叠；</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11、业务端口防雷能力6KV。</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24口接入交换机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1、最少提供24个10/100/1000Base-T电口，4个SFP 100/1000Base-T COMBO复用光口；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2、支持CLI(Console/Telnet)、SNMP、WEB 、Telnet、SSH等网管功能；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3、交换容量≧256Gbps，包转发速率≧79MPPS；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4、采用BROADCOM高性能芯片，提高交换效率；</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5、支持ACL策略，提供多种基于IP策略配置；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6、支持端口802.1Q、GVRP、PVLAN，QinQ技术协议；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7、支持端口聚合,支持LACP、802.3ad，支持负载均衡；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8、支持动态ARP、静态ARP绑定；</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9、支持IGMP Snooping、静态组播；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10、无风扇防尘、支持自然散热，延长设备使用寿命；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11、支持超静音，减少环境噪音，标准机架式19"。</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24口POE交换机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1、最少提供24*RJ45 10/100M（PoE）， 2*RJ45 10/100/1000M（上行）；2*SFP 1000M（上行）(combo)；</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2、交换容量≥8.8Gbps；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3、包转发率≥6.55Mpps；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4、Port3-24≤30W，总功率≤240W，Port1-2≤ 60W（Hi-PoE）；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5、支持IEEE802.3af/ IEEE802.3at/Hi-PoE；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6、支持PoE功耗管理，PoE上下电，PoE超过过载值掉电，支持绿色PoE；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7、支持STP、RSTP、MSTP 生成树协议；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8、支持手工聚合和静态LACP协议聚合；</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9、支持二层特性包括vlan、IGMP Snooping、LLDP、ACL、QoS等；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10、支持Web、SNMP和命令行管理。</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8口POE交换机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1、最少提供8*RJ45 10/100/1000M（PoE），1*RJ45 10/100/1000M（上行）;2*SFP 1000M（上行）；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2、交换容量≥33Gbps；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3、包转发率≥13.39Mpps；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4、Port3-8 ≤30W，总功率≤120W，port 1-2≤ 60W（Hi-PoE）；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5、IEEE802.3af， IEEE802.3at；</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6、支持PoE功耗管理，PoE上下电，PoE超过过载值掉电。</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光模块</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光模块-eSFP-GE-单模模块(1310nm,10km,LC)</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块</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3、校园广播系统</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3.1、中心设备</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IP网络广播控制中心15寸触控屏</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1、外观时尚，工业设计。铝合金面板，阳极氧化拉丝工艺,电解板一体成型， 可抗接触式 6KV 强电磁干扰；</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2、稳定可靠。采用纯工控平台设计，100-240V 宽压输入；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3、兼容性强。支持 MINI-ITX、Micro-ATX、ATX 等全系列工业板卡；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4、高性能，高扩展性。支持 Intel Core I3系列 CPU，支持多 PCI、PCIE 扩展；</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5、人机界面友好。10 点工规电容触摸屏，A+规工业级液晶屏，抽拉一体化键鼠；</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6、支持DHCP，兼容路由器、交换机、网桥网关、Modem、Internet、2G、3G、4G、组播、单播等任意网络结构；</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7、处理器：≥Intel Core I3；</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8、芯片组： Intel B75；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9、显示屏 ：≥15〞高分辨率 LED 液晶屏(1280*1024)；</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10、内存：≥DDR3 1333/1600 MHz(B75/H81)；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11、存储：≥SATA 2.5" 500GB、128G SSD；</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12、I/O 接口 ：1 个 DVI 接口； 2 个 Realtek 网口，支持 10/100/1000Mbps；5 个 RS-232 串口 1 个 RS-485 串口；2 个 USB2.0 接口 4 个 USB3.0 接口；1 个 F-Audio 1 个 PS/2；1 个 PCI-E*16 1 个 PCI-E*4 2 个 PCI(B75)；1 个 PCI-E*16 1 个 PCI-E*4 1 个 PCI-E*1 4 个 PCI（H81/H110）；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拓展板块功能描述：</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1、可对来自话筒、本地线路输入、电话（支持移动/联通GSM及电信CDMA 模块）、FM广播、U盘、SD卡及网络等的节目内容进行广播。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既可作为网络播控主机使用，结合系统软件实现对服务器广播内容进行实时、离线广播及点播，也可对其他网络广播终端进行寻呼广播及监听，还能作为调频播控主机组成基于RDS协议的调频广播系统。（需提供IP面板和调频面板图片证明）</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3、带液晶屏显示，通过操作菜单完成U盘/SD卡音量配置、日期时间设置、电话用户管理（对电话用户进行设置）、系统信息查看（查看设备的相关信息）和导出日志文件。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4、设备具有监听音量，输出音量和麦克风音量大小独立调节旋钮，同时各个音量大小具备独立的电平信号指示；（需提供音量大小调节按钮和电平信号显示面板图片证明）</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5、带1路控制电源输出，1路话筒输入，1路音频输入，1路音频输出，并带USB接口。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6、按下“收音”按键进入收音转播菜单界面后，通过设置频率或自动搜索模式，接收本地调频电台广播并转播（分区和全区）。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7、按下“麦克风/音频输入”按键，通过麦克风喊话或外部音源输入，可实现实时广播。（需提供面板按键截图证明）</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8、被授权的电话号码（加SIM卡），能通过无线电话接入，进行紧急广播及文字（短信）转语音广播。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9、通过服务器将预设节目推送到SD卡，可实现断网情况下也能本地广播，即离线广播。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10、通过IP网络连线，可实现网络实时广播（分区或全区）。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11、广播设备可以通过手机短信远程控制开关机、播放U盘节目。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12、提供“网络音视录控可视化管理平台V1.0”软件著作权以及中国版权保护中心备案截图</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IP网络广播系统软件（含加密狗）</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新宋体" w:hAnsi="新宋体" w:eastAsia="新宋体" w:cs="宋体"/>
                <w:kern w:val="0"/>
                <w:sz w:val="20"/>
                <w:szCs w:val="20"/>
              </w:rPr>
            </w:pPr>
            <w:r>
              <w:rPr>
                <w:rFonts w:hint="eastAsia" w:ascii="新宋体" w:hAnsi="新宋体" w:eastAsia="新宋体" w:cs="宋体"/>
                <w:kern w:val="0"/>
                <w:sz w:val="20"/>
                <w:szCs w:val="20"/>
              </w:rPr>
              <w:t xml:space="preserve">1、软件包带有服务器软件，同时带有分控软件(可多点安装)，中继服务器软件，IP消防报警软件（可与消防报警联动），IP无线遥控软件。 </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2、系统软件支持报警联动、紧急备份广播 、单点播放 、自动音乐打铃、音频实时采播、分区自由点播、远程分控讲话、定时节目播放、网上电台转播、无线远程控制、电话接入控制、文件播放、电话短信接入、广播监听、文本播放等功能，适用于不同使用场所；</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3、系统设有18级终端及用户操作权限设置，可根据终端及用户操作权限进行安全管理；</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4、系统任务优先级可以根据不同环境使用进行任意设定，同时具备快速恢复默认设置功能；（需提供软件截图证明）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5、根据不同场所使用，系统软件支持32级网络话筒增益调节功能，满足不同场所使用；（需提供软件截图证明）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6、网络音源支持大比特率播放音质达到CD级，音频比特率支持64 kbps -320kbps设定功能；（需提供软件截图证明）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7、系统支持录音功能，可根据用于需求进行开启录音功能，系统提供录音任务不少于4种；（需提供软件截图证明）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8、系统软件支持中英文切换，界面风貌支持不少于4种模式进行切换；（需提供软件截图证明）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9、系统软件内置音频分析工具，可以分析音频信号增益大小，支持对音频文件进行增益调节；（需提供软件截图证明）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10、软件采用USB加密狗管理，防止外人随意使用，支持300个终端接入，可扩展至1000个终端。</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11、服务看门狗：当被监控的系统服务意外停止运行时，看门狗将自动重新启动该服务的功能。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12、支持Window2003、WindowXP（纯净版）、Window7系统运行；</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13、提供“智慧云平台IP网络广播系统软件V3.01”软件著作权以及中国版权保护中心备案截图、提供由省级单位颁发的《智慧云网络广播系统》高新技术产品证书</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数字调谐器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1、采用石英锁相环路频率合成器式调节回路，接收频率精确稳定；</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2、设有高亮度动态VFD荧光显示，清晰醒眼；</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3、支持调频、调幅（FM/AM）立体声二波段接收选择，电台频率记忆存储可达80个；</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4、两组接收天线输入：AM接收天线输入，FM接收天线70Ω输入；具有电台频率自搜索存储功能，且有断电记忆功能；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5、2路音频信号左右声道输出；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6、设有轻触式按键操作，可直接输入频率电台播放。</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有线广播麦克风</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1、内置高保真电容音头、声音还原好、清晰度高、噪音小；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2、咪管与底座可拆分，工作指示灯环设计。</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 xml:space="preserve">多功能时序器 </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1、设有485通讯接口，支持广播控制主机控制；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2、采用数字化技术，可控制电源按顺序开启/关闭，保护电网不受冲击；</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3、设有安全锁供手动紧急控制；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4、最大支持~220V/6000W功率输入，分为16路电源接口输出，每路接口可承受~220V/3000W功率输出；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5、设有1路紧急接口输入，方便与其他设备连接使用。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IP网络寻呼对讲话筒（触摸屏）</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新宋体" w:hAnsi="新宋体" w:eastAsia="新宋体" w:cs="宋体"/>
                <w:kern w:val="0"/>
                <w:sz w:val="20"/>
                <w:szCs w:val="20"/>
              </w:rPr>
            </w:pPr>
            <w:r>
              <w:rPr>
                <w:rFonts w:hint="eastAsia" w:ascii="新宋体" w:hAnsi="新宋体" w:eastAsia="新宋体" w:cs="宋体"/>
                <w:kern w:val="0"/>
                <w:sz w:val="20"/>
                <w:szCs w:val="20"/>
              </w:rPr>
              <w:t>1、桌面式设计，带7寸彩色显示电阻触屏，人性化操作界面，无操作进入休眠，低功耗省电；</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2、可与各终端，寻呼话筒等实现全双工双向对讲功能，也可对各点、各区域及所有区域进行广播和文件播放功能；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3、支持一键实现寻呼对讲、广播任意终端功能，可自定义功能键数量（支持30个快捷键设置）,可根据用户情况进行实际配置，可配置上一页和下一页按键，方便使用人员进行直观操作；（需提供设备快捷设置按键界面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4、具有红色紧急求助按键，实现快速求助功能，同时支持自定义一键求助快捷键功能；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5、具有USB接口，并支持点播或广播U盘的音频文件，将音频文件转播到指定广播终端；（提供设备接口图片和音频点播界面证明）</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6、具有1个10/100MRJ45网络接口，支持DHCP自动获取IP地址功能；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7、内置3W全频扬声器，声音清晰，洪亮，可播放本地音频和接收远程音频信号进行本地播放，同时还可实现监听功能；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8、具有1路线路输入、1路线路输出及1路MIC输入，支持外接耳机、便携式麦克风或有音源音箱进行外放功能；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9、网络桌面话筒具备专用话筒接口，实现非免提的对讲。在呼叫振铃、对讲通话和发起呼叫的状态，通过话筒模拟的音频按键，可在免提和话筒模式之间切换；</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10、能接收多个对讲呼叫功能，并自动进行排队，同时支持未接来电提醒和快捷回拨功能；</w:t>
            </w:r>
            <w:r>
              <w:rPr>
                <w:rFonts w:hint="eastAsia" w:ascii="新宋体" w:hAnsi="新宋体" w:eastAsia="新宋体" w:cs="宋体"/>
                <w:kern w:val="0"/>
                <w:sz w:val="20"/>
                <w:szCs w:val="20"/>
              </w:rPr>
              <w:br w:type="textWrapping"/>
            </w:r>
            <w:r>
              <w:rPr>
                <w:rFonts w:hint="eastAsia" w:ascii="新宋体" w:hAnsi="新宋体" w:eastAsia="新宋体" w:cs="宋体"/>
                <w:kern w:val="0"/>
                <w:sz w:val="20"/>
                <w:szCs w:val="20"/>
              </w:rPr>
              <w:t>11、支持U-KEY验证功能，通过U-KEY实现用户安全登陆。（提供实物产品设备接口图片，须与USB接口分开）</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前置放大器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1、设有10路输入通道：包括5路话筒（MIC）输入，3路标准线路（AUX）输入，2路紧急线路输入；话筒1（MIC1）具有最高优先，强行切入优先功能；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2、其次是紧急输入（ENC1、2）为第二级优先，话筒（MIC1、2、3、4、5）与线路（AUX1、2、3）输入为第三级；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3、话筒（MIC)输入通道和线路（AUX）输入通道均可独立调校音量，紧急音频信号输入无音量调节，自动默音至-30dB，设有高音（TREBLE）和低音（BASS）独立调节；</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4、话筒和线路音量独立可调；</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5、设有高音和低音独立调节。</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IP网络广播主音箱</w:t>
            </w:r>
          </w:p>
          <w:p>
            <w:pPr>
              <w:widowControl/>
              <w:jc w:val="center"/>
              <w:rPr>
                <w:rFonts w:ascii="宋体" w:hAnsi="宋体" w:eastAsia="宋体" w:cs="宋体"/>
                <w:kern w:val="0"/>
                <w:sz w:val="20"/>
                <w:szCs w:val="20"/>
              </w:rPr>
            </w:pPr>
            <w:r>
              <w:rPr>
                <w:rFonts w:hint="eastAsia" w:ascii="宋体" w:hAnsi="宋体" w:eastAsia="宋体" w:cs="宋体"/>
                <w:kern w:val="0"/>
                <w:sz w:val="20"/>
                <w:szCs w:val="20"/>
              </w:rPr>
              <w:t>（监听）</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1、具有1个标准RJ45(10/100M)网络交换接口，支持局域网、广域网接入，支持DHCP；</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2、支持IP地址复位，通过按键进行对终端IP地址复位，方便后期对产品做维护；</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3、自带2x10W功放，1路接另一个1个定阻副音箱。</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4、支持网络环境自适应，当网络情况比较差的时候，可启动缓冲和丢包重传；</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5、采用高速工业级芯片，嵌入式计算机技术及DSP音频处理技术，启动时间小于1秒；</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6、红绿双色LED状态指示，通过LED指示灯可查看当前终端工作状态（复位成功、离线、空闲、网络播放等）。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7、支持终端程序远程在线升级；通过远程升级工具可以在终端列表中会显示系统中的终端，执行网络升级。 </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管理工作站</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i5/4G/1T/2G独显/含液晶显示器。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线材辅材</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接插头、音频线、信号线、控制线。</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调音台</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1、机架式调音台，上19英寸标准机柜；</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2、12路独立平衡线路输入；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3、1组立体声输入，1组立体声输出；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4、2路主输出加2编组输出，一路辅助输出；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5、带USB接口和操作界面，可直接播放WMA、MP3双格式音乐；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6、频率响应：20Hz-20KHz；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7、总谐波失真：20Hz-20KHz时为+14dbu,输入GAIN控制旋钮至最小值；</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8、幻象电源：48V；</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9、输入均衡：HIGH:12KHz，MID:2.5KHz,LOW:80Hz；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10、内部数字效果器：16中模式；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11、LED电平表：2×12点LED电平表。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项</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IP网络消防报警主机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1、具有1个标准RJ45(10/100M)网络交换接口，支持局域网、广域网接入；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2、带4路联动报警信号输出，控制喷水，电源开关等其它消防设备；</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3、网络连接，可在局域网上任意位置接入，方便与消防中心对接；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4、通过配套系统软件自定义报警模式（N±1）；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5、16路报警信号输出，有信号输入，相应指示灯亮，通过IP地址设置，可多台扩展接入。</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IP网络广播音箱</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1、具有1个标准RJ45(10/100M)网络交换接口，支持局域网、广域网接入，支持DHCP；</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2、支持IP地址复位，通过按键进行对终端IP地址复位，方便后期对产品做维护；</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3、自带2x10W功放，1路接另一个1个定阻副音箱。</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4、支持网络环境自适应，当网络情况比较差的时候，可启动缓冲和丢包重传；</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5、采用高速工业级芯片，嵌入式计算机技术及DSP音频处理技术，启动时间小于1秒；</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6、红绿双色LED状态指示，通过LED指示灯可查看当前终端工作状态（复位成功、离线、空闲、网络播放等）。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7、支持终端程序远程在线升级；通过远程升级工具可以在终端列表中会显示系统中的终端，执行网络升级。 </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3.2、前端设备</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 xml:space="preserve"> 经济型IP网络前置终端</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1、网络接口：1组RJ45；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2、通讯协议：ARP、UDP、TCP/IP、ICMP、IGMP(组播)；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3、音频格式：MP3；</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4、采样频率：8K-48KHz；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5、通讯速率：10/100Mbps；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6、音频模式:16位立体声CD音质；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7、频率范围：40Hz—20KHz（±3dB）；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8、谐波失真：THD≤0.1%；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9、信噪比：≥90dB；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10、话筒输入灵敏度：10mV；</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11、输出灵敏度&amp;源阻抗：0.775V/600Ω（-3dB）；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12、解码输出通道：独立1通道；</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13、线路输出电平：1路1000mV；</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14、提供“数字广播终端嵌入软件V3.02”软件著作权以及中国版权保护中心备案截图。</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合并式广播功放（500W)</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1、额定功率500W；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2、3通道麦克风TRS端子输入，2通道Aux输入，1通道Aux输出；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3、带2级优先功能，其中Mic1具有最高优先级别（自动抹音功能），抑制其他输入信号；其他通道属第二优先级别；</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4、Mic、Aux输入附有独立音量调节旋钮和高音、低音音调调节旋钮；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5、产品具有良好的短路、过载、过热等自我保护警告功能，当输入信号过大、负载过重、温度过高、线路短路等，机器会有异常工作保护警告功能，对应的指示灯提示，故障消除时自动恢复，有极高的可靠性；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6、总功率输出2种方式；定压输出100V，70V和定阻输出4-16ohms。</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30W壁挂扬声器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 xml:space="preserve">1、额定功率：30W；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2、最大功率：60W；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3、灵敏度：91dB±3dB；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4、输入电压：黄-COM 蓝-70V  红-100V；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5、频率响应：120-18000Hz 。</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合并式广播功放（150W)</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1、额定功率180W；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2、3通道麦克风TRS端子输入，2通道Aux输入，1通道Aux输出；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3、带2级优先功能，其中Mic1具有最高优先级别（自动抹音功能），抑制其他输入信号；其他通道属第二优先级别；</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4、Mic、Aux输入附有独立音量调节旋钮和高音、低音音调调节旋钮；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5、产品具有良好的短路、过载、过热等自我保护警告功能，当输入信号过大、负载过重、温度过高、线路短路等，机器会有异常工作保护警告功能，对应的指示灯提示，故障消除时自动恢复，有极高的可靠性；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6、总功率输出2种方式；定压输出100V，70V和定阻输出4-16ohms。</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合并式广播功放（100W)</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1、额定功率120W；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2、3通道麦克风TRS端子输入，2通道Aux输入，1通道Aux输出；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3、带2级优先功能，其中Mic1具有最高优先级别（自动抹音功能），抑制其他输入信号；其他通道属第二优先级别；</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4、Mic、Aux输入附有独立音量调节旋钮和高音、低音音调调节旋钮；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5、产品具有良好的短路、过载、过热等自我保护警告功能，当输入信号过大、负载过重、温度过高、线路短路等，机器会有异常工作保护警告功能，对应的指示灯提示，故障消除时自动恢复，有极高的可靠性；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6、总功率输出2种方式；定压输出100V，70V和定阻输出4-16ohms。</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合并式广播功放（150W)</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1、额定功率180W；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2、3通道麦克风TRS端子输入，2通道Aux输入，1通道Aux输出；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3、带2级优先功能，其中Mic1具有最高优先级别（自动抹音功能），抑制其他输入信号；其他通道属第二优先级别；</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4、Mic、Aux输入附有独立音量调节旋钮和高音、低音音调调节旋钮；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5、产品具有良好的短路、过载、过热等自我保护警告功能，当输入信号过大、负载过重、温度过高、线路短路等，机器会有异常工作保护警告功能，对应的指示灯提示，故障消除时自动恢复，有极高的可靠性；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6、总功率输出2种方式；定压输出100V，70V和定阻输出4-16ohms。</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10W壁挂扬声器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 xml:space="preserve">1、额定功率：10W；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2、频率响应：130-18000Hz；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3、灵敏度：93dB±3dB；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4、输入：黑-COM 白-70V 红-100V；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5、喇叭单元：6.5〞 + 0.5〞 。</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UHF一拖二真分集无线麦克风  （动圈麦）</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1、超高频的UHF多组频率传输，可设置多组频率同时使用，满足多套话筒叠机应用；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2、采用高性能CPU控制，可以进行选频、显示、静音锁定、电池容量监测等处理；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3、采用高性能oled的液晶显示，所有的功能均可以在液晶屏显示，如频率、静音电平、射频信号电平、音频电平、低电警告等；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4、每个通道有100个频点可调，带有Remote scan™自动扫频功能，也可以手动调频；</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5、系统采用PLL锁相环设计，可以多套系统实现多频道、多功能的专业功能；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6、杂讯检测抑制噪音功能，有效减少环境中射频干扰造成的噪声；</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7、手持麦带隐藏式手动调频按键，支持手持无线麦手动调节频率。</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专业天线放大器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1、天线类型：指向性天线；</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2、工作频带：470MHz-960MHz；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3、增益：6dB典型；</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4、阻抗：50欧姆 典型；</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5、指向性：单指向性。</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信号延长线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SYWV-75-5</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320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68</w:t>
            </w:r>
          </w:p>
        </w:tc>
        <w:tc>
          <w:tcPr>
            <w:tcW w:w="142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广播护套线</w:t>
            </w:r>
          </w:p>
        </w:tc>
        <w:tc>
          <w:tcPr>
            <w:tcW w:w="453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RVV2*2.5</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520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六类非屏蔽双绞线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1、性能符合ANST/TIA-568-C.2-2009、GB/T 50312-2016、IEC 61156-5六类标准。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2、可以传输数字、语音、数据和视频信号，满足高端需求尤其适合所有D、E级链路和六类的应用，包括ISDN，10/100/1000兆快速以太网， 4/16Mbit/s令牌环，TP-PMD/TP-DDI 125 Mbit/s,ATM155Mbit/s。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3、绝缘层材料为高密度聚乙烯（HDPE），外护套材料为PVC。物理特性：传输带宽大于250MHz；23AWG线规。</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4、电气性能：工作电容≤5.6 nF/100米；线对对地电容不平衡≤330 pF/100米；额定传输速率（NVP)：65% ；线对时延差≤45ns/100米；线对直流不平衡电阻≤2%。</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箱</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JDG管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DN20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820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m</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金属软管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0.5m ,DN20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根</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接线盒</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86型</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4、视频监控系统</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4.1、前端摄像机</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400万星光级网络摄像机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（核心产品）</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1、传感器：≥1/3英寸CMOS；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2、最大分辨率≥2688x1520；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3、焦距支持3.6\6\8\12mm可选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4、最低照度彩色：≤0.002lx，黑白：≤0.0002lx；</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5、支持H.265、H.264、MJPEG视频编码格式，其中H.265和H.264都支持Baseline/Main/HighProfile；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6、主码流≥2560×1440@25fps;辅码流≥704×576@25fps；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7、信噪比≥56dB；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8、宽动态≥120dB；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9、红外补光距离≥50米；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10、具备通用行为分析绊线入侵；区域入侵；</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11、支持走廊模式，宽动态，3D降噪，强光抑制，背光补偿，数字水印，适用不同监控环境</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12、摄像机能够在-45~75摄氏度，湿度小于93%环境下稳定工作；</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13、防护等级支持IP67</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14、具有≥1个10M/100M自适应RJ45网络接口；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15、支持DC12V/POE供电。</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枪机支架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1、材质：铝合金；</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2、承重：≥1.0KG；</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3、安装方式：壁装。</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400万星光级半球摄像机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（核心产品）</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1、传感器：≥1/3英寸CMOS；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2、最大分辨率≥2688x1520；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3、焦距支持3.6\6\8mm可选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4、最低照度彩色：≤0.002lx，黑白：≤0.0002lx；</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5、支持H.265、H.264、MJPEG视频编码格式，其中H.265和H.264都支持Baseline/Main/HighProfile；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6、主码流≥2560×1440@25fps;辅码流≥704×576@25fps；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7、信噪比≥56dB；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8、宽动态≥120dB；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9、红外补光距离≥50米；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10、具备通用行为分析绊线入侵；区域入侵；</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11、支持走廊模式，宽动态，3D降噪，强光抑制，背光补偿，数字水印，适用不同监控环境；</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12、摄像机能够在-45~75摄氏度，湿度小于93%环境下稳定工作；</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13、防护等级支持IP67；</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14、具有≥1个10M/100M自适应RJ45网络接口；支持内置MIC；</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15、支持DC12V/POE供电。</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28</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球型摄像机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1、传感器：≥1/2.8英寸 CMOS;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2、最低照度：彩色：≤0.005lux 黑白：≤0.0005lux；</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3、最大补光角度：红外≥150米；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4、补光灯数量：4颗（红外灯）；</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5、主码流：≥2560×1440@25fps；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6、旋转范围：水平：0°~360°连续旋转 垂直：-20°~+90°自动翻转180°后连续监视；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7、支持≥32倍光学变倍，≥16倍数字变倍；</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8、支持H.265、H.264和MJPEG设置选项，可将H.265和H.264格式设置为Baseline/Main/High Profile；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9、支持绊线入侵；支持区域入侵；支持穿越围栏；支持徘徊检测；支持物品遗留；支持物品搬移；支持快速移动；支持停车检测；支持人员聚集；支持人车分类报警；支持联动跟踪；</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10、支持≥1个RJ-45网络接口、≥2路输入报警接口、≥1路输出报警接口、≥1路输入音频接口、≥1路输出音频接口；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 供电方式：AC24V/3A；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12、防护等级：IP66，6000V防雷、防浪涌和防突波保护。</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周界摄像机</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1、传感器：≥1/2.7英寸CMOS；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2、内置GPU芯片，支持精准的人车分类侦测；</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3、支持分辨率为2688×1520 @25fps，码率设定为1Mbps，RJ45输出，清晰度≥1500TVL；</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4、最低照度彩色：≤0.0002lx，黑白：≤0.0001lx；</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5、内置高效白光和红外补光灯，红外补光距离≥80米；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6、信噪比≥56dB；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7、支持H.265、H.264、MJPEG视频编码格式，其中H.265和H.264都支持Baseline/Main/High Profile；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8、支持主码流≥2688×1520 @25fps、辅码流≥704×576@25fps、第三码流≥1920×1080@25fps；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9、支持帧率动态控制功能，当触发报警时，视频录像帧率应自动调整至设定值；</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10、同一静止场景相同图像质量下，设备在H.264或H.265编码方式时，开启智能编码功能和不开启智能编码相比，码率节约4/5；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11、支持匿名访问功能，用户无输入用户名和密码即能浏览视频图像；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12、具备绊线入侵、区域入侵、快速移动、停车检测、徘徊检测、人员聚集、物品遗留、物品搬移等智能行为分析功能；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13、具有背光补偿、强光抑制、宽动态、3D降噪、走廊模式、数字水印等功能；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14、支持声光报警联动，当报警产生时，可触发联动声音警报和白光闪烁；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15、支持欠压/过压报警功能：当供电电压低于8.4V或高于19V时，设备可在客户端软件给出报警提示或播放报警提示音（以国家权威机构出具的检验报告复印件为准）；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16、支持IP67防护等级；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17、支持DC12V/POE供电。</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4.2、明厨亮灶系统</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防油污摄像机</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1、传感器：≥1/2.8英寸200W像素CMOS；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2、最大分辨率≥1920x1080；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3、清晰度≥1100TVL；</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4、最低照度彩色：≤0.001lx，黑白：≤0.0001lx；</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5、支持H.265、H.264、MPEG-4、MJPEG视频编码格式，其中H.264和H.265都支持Baseline/Main/HighProfile；</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6、主码流≥1920×1080@25fps、辅码流≥704×576@25fps、第三码≥352×288@25fps；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7、需具≥105dB宽动态；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8、红外补光距离≥150米；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9、具备区域入侵、拌线入侵、物体遗留/移除、徘徊、停车、快速移动、人员聚集等智能行为分析功能；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10、开启排队管理功能后，样机可对设置区域内排队的人员和驻留时间进行统计。可通过IE浏览器绘制4个检测区域并自定义名称（以国家权威机构出具的检验报告复印件为准）；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11、开启区域人数统计功能后，样机可对设置区域内的人员进行统计，可通过IE浏览器绘制4个监测区域并自定义名称（以国家权威机构出具的检验报告复印件为准）；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12、当区域内的排队人员滞留时间超过设定值时，IE浏览器应给出报警提示（以国家权威机构出具的检验报告复印件为准）；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13、具有背光补偿、强光抑制、自动增益、3D降噪、走廊模式、感兴趣区域、SVC、智能红外、断网续传、录像回放、配置保存、断电保护、用户登录锁定、用户管理、配置管理、区域裁剪、区域曝光等功能；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14、摄像机能够在-40~70摄氏度，湿度小于93%环境下稳定工作；</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15、支持IP67防护等级；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16、支持128GSD卡；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17、具有≥1个RJ-45网络接口、≥1个CVBS视频输出接口、≥1个音频输入接口、≥1个音频输出接口、≥1个报警输入接口、≥1个报警输出接口、≥1个SD卡槽、≥1个RS232接口、1个复位按钮；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18. 支持DC12V/POE供电。</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NVR主机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1、工业级嵌入式微控制器；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2、嵌入式Linux实时操作系统；</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3、网络带宽接入128Mbps,储存128Mbps,转发128Mbps；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4、网络视频接入16路；</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5、解码能力2×4K/4×4M/8×1080P/16×720P；</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6、≥1路VGA，≥1路HDMI，支持VGA/HDMI视频同源输出；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7、最大支持16路回放；</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8、视频压缩标准H265/H.264；</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9、≥2个内置SATA接口；1个千兆以太网口；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10、≥1个前置USB2.0接口/≥1个后置USB3.0接口；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11、DC12V 电源供电。</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22寸监视器</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1、显示尺寸≥22″；</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2、背光类型：LED；</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3、物理分辨率≥1920x1080；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4、亮度不低于250cd/m2；</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5、对比度不低于1000:1；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6、塑料材质，无边框设计；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7、不低于内置喇叭*1 输出*1、Audio输入*1、HDMI输入*1、VGA输入*1；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8、具备透雾增强、低照度增强功能、图像边缘修复技术及智能防灼屏技术。</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4.3、管理中心设备</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64路NVR</w:t>
            </w:r>
          </w:p>
        </w:tc>
        <w:tc>
          <w:tcPr>
            <w:tcW w:w="453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1、操作系统：嵌入式LINUX操作系统；</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2、视频接入：不少于32路接入，码流640Mbps；存储码流640Mbps；转发码流640Mbps；回放128Mbps。可接入H.265、H.264、MPEG4、MJPEG、Smart264、Smart265编码格式的前端设备并存储录像文件；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3、支持将IPC接入配置以CVS格式文件导入或导出本机，CVS格式文件允许用户编辑。WEB和本地均可编辑；(国家部门权威机构出具的检验报告复印件为准)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最大可接入16块接口为SATA的硬盘，每个SATA口可接入最大10TB容量的硬盘，可通过eSATA接口接入外置硬盘，设备可外置SSD固态硬盘，可配置8个IPSAN网盘，支持对加密硬盘的适应接入；(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5、具有一键RAID5功能式，RAID工作模式分为自适应、同步优先和业务优先，通过设置不同的模式，可控制RAID同步速度，默认模式为自适应支持； (国家部门权威机构出具的检验报告复印件为准)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6、当处于局域网中的样机注册到P2P服务器后，可通过P2P服务器远程预览样机的图像及回放录像文件；(国家部门权威机构出具的检验报告复印件为准)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7、升级文件可通过数字签名加密，篡改后可给出提示信息，无法给设备升级；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集群功能，可将多台设备分别设置为主服务器和备用服务器，当其中的主服务器出现死机或者磁盘损等情况，可自动切换至备用服务器进行工作，当主服务器恢复正常后，录像数据能由备份服务器回传至主服务器，可配置高速、中速、低速进行回传（其中1&lt;M&lt;N）；(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9、支持画中画预览功能，可通过客户端软件在2路视频图像中分别叠加1路其他通道的视频图像并同时显示,可在32画面预览模式下同时预览2路画中画视频；(国家部门权威机构出具的检验报告复印件为准)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10、支持校时功能:可通过客户端软件对设备设置NTP校时服务器或手动校时可通过客户端软件设置校时白名单，只有在白名单中的设备才能校时；(国家部门权威机构出具的检验报告复印件为准)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门禁接入功能，设备接入具有移动侦侧功能的可视对讲门禁设备，可预览门禁的视频画面，并当移动侦侧触发时可通过客户端软件给出报警提示并联动录像、弹出报警画面、发送语音提示、发送邮件；(国家部门权威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12、网络接口：不少于2个10/100/1000M自适应以太网口；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13、视频接口：至少2个HDMI及2个VGA输出接口；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14、音频接口：不少于1路输入，1路输出，报警接口：16路输入，6路输出；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接入具有点火检测、测温及温差检测报警功能的摄像机，可通过客户端软件以热成像方式显示预览画面，当触发报警时，可联动录像、抓拍图片、弹出报警画面、发送语音提示、发送邮件、辅助输出；(以公安部授权机构出具的检验报告复印件为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16、RS485\RS232：不少于1个RS232、1个RS485。</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监控专用硬盘</w:t>
            </w:r>
            <w:r>
              <w:rPr>
                <w:rFonts w:hint="eastAsia" w:ascii="宋体" w:hAnsi="宋体" w:eastAsia="宋体" w:cs="宋体"/>
                <w:kern w:val="0"/>
                <w:sz w:val="20"/>
                <w:szCs w:val="20"/>
              </w:rPr>
              <w:br w:type="textWrapping"/>
            </w:r>
            <w:r>
              <w:rPr>
                <w:rFonts w:hint="eastAsia" w:ascii="宋体" w:hAnsi="宋体" w:eastAsia="宋体" w:cs="宋体"/>
                <w:kern w:val="0"/>
                <w:sz w:val="20"/>
                <w:szCs w:val="20"/>
              </w:rPr>
              <w:t>（核心产品）</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6000G/5400RPM/256M/6Gb/SATA3.0。</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55寸液晶显示器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1、工业级宽视角面板，适合7*18小时连续工作；</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2、领先算法技术，色彩靓丽、逼真；</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3、超高清4K分辨率，画质清晰；</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4、9ms快速响应时间，画面真正无拖尾；</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5、自动消除残影功能，保护液晶屏的长期使用；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6、专业散热设计，延长设备使用寿命；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7、支持HDMI、USB等多种信号输入；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8、按键控制、红外遥控双重控制；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9、亮度智能控制，节能环保；</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10、内置电源，能耗低，静音。</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84</w:t>
            </w:r>
          </w:p>
        </w:tc>
        <w:tc>
          <w:tcPr>
            <w:tcW w:w="1421" w:type="dxa"/>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kern w:val="0"/>
                <w:sz w:val="20"/>
                <w:szCs w:val="20"/>
              </w:rPr>
            </w:pPr>
            <w:r>
              <w:rPr>
                <w:rFonts w:hint="eastAsia" w:ascii="宋体" w:hAnsi="宋体" w:eastAsia="宋体" w:cs="宋体"/>
                <w:kern w:val="0"/>
                <w:sz w:val="20"/>
                <w:szCs w:val="20"/>
              </w:rPr>
              <w:t>操作台(两联）</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1600*900*750mm，钢制</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管理工作站</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i5/4G/1T/2G独显/含液晶显示器。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4.4、管线部分</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六类非屏蔽双绞线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1、性能符合ANST/TIA-568-C.2-2009、GB/T 50312-2016、IEC 61156-5六类标准。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2、可以传输数字、语音、数据和视频信号，满足高端需求尤其适合所有D、E级链路和六类的应用，包括ISDN，10/100/1000兆快速以太网， 4/16Mbit/s令牌环，TP-PMD/TP-DDI 125 Mbit/s,ATM155Mbit/s。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3、绝缘层材料为高密度聚乙烯（HDPE），外护套材料为PVC。物理特性：传输带宽大于250MHz；23AWG线规。</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4、电气性能：工作电容≤5.6 nF/100米；线对对地电容不平衡≤330 pF/100米；额定传输速率（NVP)：65% ；线对时延差≤45ns/100米；线对直流不平衡电阻≤2%。</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箱</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球机电源线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RVV3*1.5</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JDG管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DN20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702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m</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监控立杆</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1.2米立杆</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根</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金属软管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0.5m ,DN20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根</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接线盒</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86型</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5、出入口控制系统</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5.1、人员通道闸</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人脸识别主件</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1、采用≥7英寸2.5D曲面屏，屏幕显示分辩率≥1024×600；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2、摄像头采用 200万CMOS，支持真实宽动态；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3、支持自动补光，可有效降低环境光污染；</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4、支持≥10万个用户、≥10万张人脸、≥10万个密码、≥50个管理员、≥30万条记录；</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5、支持人脸、指纹、IC卡、密码、二维码等多种识别方式，并支持多种组合识别鉴权方式；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6、支持显示人脸框，并实时检测最大人脸，支持识别区域及人脸目标大小设置；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7、支持面部识别距离0.3m-2.0m；适应0.9m～2.4m身高范围(镜头安装高度1.4米)；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8、基于深度人脸识别算法，精准定位目标人脸360个以上关键点位置；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9、人脸识别速度0.2秒，可实现无感通行；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10、支持活体检测功能，支持手机照片、打印照片和视频防假；</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11、支持多种比对结果呈现模式及多种语音提示信息，适应多种场景，有效保障用户隐私；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12、支持胁迫报警、 防拆报警、 闯入报警、 门超时报警、非法卡超次报警；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13、支持来宾用户下发、巡逻用户下发、黑名单用户下发、VIP用户下发、普通用户下发、特殊用户；</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14、支持外接≥1个485读卡器、≥1个韦根读卡器，≥1路RS232、≥2个开门按钮、≥2个报警输入、≥2个报警输出，≥2个门锁信号输出；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15、支持IP65防护等级。</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人员通道闸机左（幼儿园版）</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1、电机采用直流有刷电机，运行平稳、可靠；电机使用寿命200万次；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2、产品高度≤850mm，通道宽度600mm；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3、选用国标304不锈钢壁厚1.5mm，确保设备稳定性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4、配置≥10对红外对射，上6下4；</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5、支持红外防夹、机械防夹双重防夹技术；</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6、设备集成门禁主机功能，支持权限下发、管理和事件记录存储；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7、支持每天多个时间段的常开/常闭管控，设置某时段通道为常开或常闭；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8、八种工作模式可供选择，即可双向授权通行，也可一向授权通行，另一向禁行或自由通行等；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9、防冲撞功能，在没有接收到开门信号时，门翼自动锁死；</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10、支持记忆模式，连续通行功能，多人依次有效授权，门翼在收到第一个开门信号后打开，最后一位有效授权行人通过通道，门翼关闭；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11、支持误闯，翻越、滞留、尾随、开门超时、翻越声光报警；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12、具备消防联动接口，当消防联动信号触发时，门翼自动打开，当消防联动信号恢复时，门翼将会复位；</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13、具备自检测、自诊断功能，异常时可报警提示，提醒用户及时采取维护措施；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14、通行速度20人~40人/min。</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人员通道闸机中（幼儿园版）</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1、电机采用直流有刷电机，运行平稳、可靠；电机使用寿命200万次；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2、产品高度≤850mm，通道宽度600mm；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3、选用国标304不锈钢壁厚1.5mm，确保设备稳定性；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4、配置≥10对红外对射，上6下4；</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5、支持红外防夹、机械防夹双重防夹技术；</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6、设备集成门禁主机功能，支持权限下发、管理和事件记录存储；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7、支持每天多个时间段的常开/常闭管控，设置某时段通道为常开或常闭；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8、八种工作模式可供选择，即可双向授权通行，也可一向授权通行，另一向禁行或自由通行等；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9、防冲撞功能，在没有接收到开门信号时，门翼自动锁死；</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10、支持记忆模式，连续通行功能，多人依次有效授权，门翼在收到第一个开门信号后打开，最后一位有效授权行人通过通道，门翼关闭；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11、支持误闯，翻越、滞留、尾随、开门超时、翻越声光报警；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12、具备消防联动接口，当消防联动信号触发时，门翼自动打开，当消防联动信号恢复时，门翼将会复位；</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13、具备自检测、自诊断功能，异常时可报警提示，提醒用户及时采取维护措施；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14、通行速度20人~40人/min。</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人员通道闸机右（幼儿园版）</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1、电机采用直流有刷电机，运行平稳、可靠；电机使用寿命200万次；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2、产品高度≤850mm，通道宽度600mm；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3、选用国标304不锈钢壁厚1.5mm，确保设备稳定性；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4、配置≥10对红外对射，上6下4；</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5、支持红外防夹、机械防夹双重防夹技术；</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6、设备集成门禁主机功能，支持权限下发、管理和事件记录存储；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7、支持每天多个时间段的常开/常闭管控，设置某时段通道为常开或常闭；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8、八种工作模式可供选择，即可双向授权通行，也可一向授权通行，另一向禁行或自由通行等；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9、防冲撞功能，在没有接收到开门信号时，门翼自动锁死；</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10、支持记忆模式，连续通行功能，多人依次有效授权，门翼在收到第一个开门信号后打开，最后一位有效授权行人通过通道，门翼关闭；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11、支持误闯，翻越、滞留、尾随、开门超时、翻越声光报警；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12、具备消防联动接口，当消防联动信号触发时，门翼自动打开，当消防联动信号恢复时，门翼将会复位；</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13、具备自检测、自诊断功能，异常时可报警提示，提醒用户及时采取维护措施；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14、通行速度20人~40人/min。</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遥控器</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1、接收器：电压DC 24V；电流0.1A；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2、接收灵敏度-107dBm；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3、四路继电器输出，信号互锁、信号非锁、信号自锁、信号两路自锁和两路非锁并存；</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4、按键数量：4个。</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5.2、门禁管理系统</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单门磁力锁（含安装支架）</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 xml:space="preserve">1、最大拉力 280kg(600Lbs)直线拉力；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2、工作电压 DC12V/DC24V；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3、工作电流 480mA/240mA；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4、门状态信号输出；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5、安全类型 断电开门。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双门磁力锁（含安装支架）</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 xml:space="preserve">1、最大拉力 280kg(600Lbs)直线拉力；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2、工作电压 DC12V/DC24V；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3、工作电流 480mA/240mA；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4、门状态信号输出；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5、安全类型 断电开门。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99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开门按钮</w:t>
            </w:r>
          </w:p>
        </w:tc>
        <w:tc>
          <w:tcPr>
            <w:tcW w:w="4536" w:type="dxa"/>
            <w:tcBorders>
              <w:top w:val="nil"/>
              <w:left w:val="nil"/>
              <w:bottom w:val="single" w:color="auto" w:sz="4" w:space="0"/>
              <w:right w:val="single" w:color="auto" w:sz="4" w:space="0"/>
            </w:tcBorders>
            <w:shd w:val="clear" w:color="auto" w:fill="auto"/>
          </w:tcPr>
          <w:p>
            <w:pPr>
              <w:widowControl/>
              <w:spacing w:after="240"/>
              <w:jc w:val="left"/>
              <w:rPr>
                <w:rFonts w:ascii="宋体" w:hAnsi="宋体" w:eastAsia="宋体" w:cs="宋体"/>
                <w:kern w:val="0"/>
                <w:sz w:val="20"/>
                <w:szCs w:val="20"/>
              </w:rPr>
            </w:pPr>
            <w:r>
              <w:rPr>
                <w:rFonts w:hint="eastAsia" w:ascii="宋体" w:hAnsi="宋体" w:eastAsia="宋体" w:cs="宋体"/>
                <w:kern w:val="0"/>
                <w:sz w:val="20"/>
                <w:szCs w:val="20"/>
              </w:rPr>
              <w:t xml:space="preserve">1、产品材料 塑料外壳；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2、产品尺寸 86*86*25mm。</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门禁一体机</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1、IPS屏≥7英寸，分辨率≥1024*600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2、支持人脸、IC卡、密码等多种识别认证方式，支持分时段开门；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3、支持显示人脸框，并实时检测最大人脸，支持识别区域及人脸目标大小设置；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4、采用不低于200万广角宽动态双目摄像头，支持自动开启补光灯以及手动调节补光灯亮度；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5、支持面部识别距离0.3m-2.0m；适应0.9m～2.4m身高范围；</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6、基于深度人脸识别算法，精准定位目标人脸360个以上关键点位置；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7、人脸验证准确率高达99.5%，1：N比对时间小于0.35秒/人，识别速度快，准确率高</w:t>
            </w:r>
            <w:r>
              <w:rPr>
                <w:rFonts w:hint="eastAsia" w:ascii="宋体" w:hAnsi="宋体" w:eastAsia="宋体" w:cs="宋体"/>
                <w:kern w:val="0"/>
                <w:sz w:val="20"/>
                <w:szCs w:val="20"/>
              </w:rPr>
              <w:br w:type="textWrapping"/>
            </w:r>
            <w:r>
              <w:rPr>
                <w:rFonts w:hint="eastAsia" w:ascii="宋体" w:hAnsi="宋体" w:eastAsia="宋体" w:cs="宋体"/>
                <w:kern w:val="0"/>
                <w:sz w:val="20"/>
                <w:szCs w:val="20"/>
              </w:rPr>
              <w:t>适应侧脸，支持人脸识别角度0~90°设置；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8、设备支持不少于2000个用户，2000张卡，2000个密码，2000人脸，50个管理员；</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9、支持活体检测功能，支持手机照片、打印照片和视频防假；</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10、支持胁迫报警、 防拆报警、 闯入报警、 门超时报警、非法卡超次报警；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11、支持来宾用户下发、巡逻用户下发、黑名单用户下发、VIP用户下发、普通用户下发、残疾人用户；</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12、支持4种识别提示模式及多种语音提示信息，方便用户选择。</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人脸采集仪</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1、采用专业高性能200万像素CMOS图像传感器,支持高达1080P高清视频输出；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2、支持WindowsXPSP2（SP3）/Windows7/Windows8（8.1）或更高版本；</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3、支持USB1.1及USB2.0接口,可实现即插即用；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4、支持UVC1.0/1.1/1.5支持YUV/MJPEG/H.264视频输出；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5、支持全高清视频录制（高达1920*1080像素）；</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6、支持内置全指向驻极体麦克风；</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7、支持数字降噪功能；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8、支持自动白平衡图像色彩还原度高,图像逼真；</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9、支持自动电子增益功能。</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开关电源</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12V10A</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5.3、管线部分</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电磁锁信号线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RVV4*1.0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出门按钮信号线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RVV2*1.0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六类非屏蔽双绞线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1、性能符合ANST/TIA-568-C.2-2009、GB/T 50312-2016、IEC 61156-5六类标准。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2、可以传输数字、语音、数据和视频信号，满足高端需求尤其适合所有D、E级链路和六类的应用，包括ISDN，10/100/1000兆快速以太网， 4/16Mbit/s令牌环，TP-PMD/TP-DDI 125 Mbit/s,ATM155Mbit/s。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3、绝缘层材料为高密度聚乙烯（HDPE），外护套材料为PVC。物理特性：传输带宽大于250MHz；23AWG线规。</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4、电气性能：工作电容≤5.6 nF/100米；线对对地电容不平衡≤330 pF/100米；额定传输速率（NVP)：65% ；线对时延差≤45ns/100米；线对直流不平衡电阻≤2%。</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箱</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电源线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RVV2*1.0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450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电源线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RVV3*2.5</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JDG管</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DN25</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180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6、电子巡查管理系统</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巡更点</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集成电路芯片密封在不锈钢壳中，防水、防震、防腐，坚固耐用，可在 -40 ℃～ + 90 ℃温度范围内使用。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人员钮</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具备抗冲击，防浸水，感应距离≤100mm。</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巡更棒</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1、事件记录型巡更，具有本机事件录入功能；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2、射频感应，感应距离5CM左右；</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3、智能5秒自检功能，带电池更换记录，时间出错记录等内存10000条记录（可扩容）。</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通讯器</w:t>
            </w:r>
          </w:p>
        </w:tc>
        <w:tc>
          <w:tcPr>
            <w:tcW w:w="4536" w:type="dxa"/>
            <w:tcBorders>
              <w:top w:val="nil"/>
              <w:left w:val="nil"/>
              <w:bottom w:val="single" w:color="auto" w:sz="4" w:space="0"/>
              <w:right w:val="single" w:color="auto" w:sz="4" w:space="0"/>
            </w:tcBorders>
            <w:shd w:val="clear" w:color="auto" w:fill="auto"/>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1、通讯端口：USB；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2、传输速率：19200bps；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3、使用条件：-40℃ ～+85℃；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4、相对湿度：25% ～ 85%；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5、抗压力：100千克力。</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巡更系统软件</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客户端软件平台：支持WINDOWS系统。</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7、多媒体教学系统</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65寸触控一体机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1、金属前边框抗冲击圆角设计，符合幼儿设备安全规范要求。整机外观色调明亮活泼，适合幼儿教室整体装潢设计风格。整机屏幕采用65英寸超高清LED 液晶A规屏，屏幕分辨率不低于3840*2160，显示比例16:9并支持UHD高清点对点显示，前置AG防眩光钢化玻璃，具备防眩光效果。屏幕显示灰度分辨等级达到128灰阶以上，保证画面显示效果细腻。</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2、整机采用红外触控技术，可支持二十点触控，便于多名幼儿同时操作书写；内置功放输出功率≥8wx2。整机端口不少于≥1路VGA ；≥1路PC Audio IN；≥1路HDMI；≥1路TV RF；≥1路Audio out；≥1路touch USB。整机具备不少于3路USB接口，其中至少2路为前置接口，便于教师教学使用。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3、任意通道下可通过手势在屏幕调取触摸中控菜单，触控菜单整合信号源通道切换、亮度对比度调节、声音图像调节等功能，无须实体按键。</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搭配与整机外观风格一致的卡通摄像头，摄像头像素不低于500W，视场角不小于71.8度；摄像头集成内置麦克风拾音。摄像头底座预留孔位，可使用螺丝等工具居中固定于整机顶端。（提供国家级权威检测机构出具的检验报告复印件佐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整机内置AI语音操控模块，唤醒词激活后可通过语音控制整机快速开关白板软件、传屏互动工具、幼儿相机、幼教软件，操控电脑关机、待机及待机唤醒。语义词库支持离线使用，在无网络环境下仍可进行语音交互。（提供国家级权威检测机构出具的检验报告复印件佐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整机内置幼教专用相机以实现拍照和录像功能；拍照支持延时拍摄，可设置3s、5s延时期限。拍照及录像的开始、保存、重拍、取消等操作均支持智能语音操控，快速记录课堂瞬间和活动视频。（提供国家级权威检测机构出具的检验报告复印件佐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7、提供多种显示模式，可切换至蓝光护眼模式，降低背光亮度，使显示更柔和。</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整机电视开关、电脑开关、节能待机键三合一，操作便捷。短按电源键开机，开机状态下短按电源键关闭整机屏幕节能待机。长按电源键关闭内置电脑和整机系统，无需分离操作。（提供国家级权威检测机构出具的检验报告复印件佐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9、整机在关机通电状态下，接入外部VGA或HDMI信号时，自动唤醒并开启整机，无需人为开机；断开外接信号源后自动跳转至原有信号源通道。（提供国家级权威检测机构出具的检验报告复印件佐证）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10、配备无线智能遥控：人性化设计具备电视遥控功能和电脑键盘常用的F1—F12功能键及Alt+F4、Alt+Tab、Space、Enter、Win等快捷按键，可一键锁定/解锁触摸及整机实体按键，防止课间学生操作。电源要求：AC 100V～240V；</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整机经过产品可靠性检验，MTBF大于80000小时。整机符合浪涌（冲击）抗扰度、静电放电抗扰度、射频电磁场辐射抗扰度、电快速瞬变脉冲群抗扰度、射频场感应的传导抗扰度等要求，确保整机使用安全。整机具备抗振动、防跌落特性，保证整机运输或使用过程中不易受损。整机在0℃—40℃环境下可正常工作，在-20℃—60℃的环境下可正常贮存且贮存后功能无损。</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12、整机支持一键黑屏节能70%，且整机符合GB21520-2008的能源效率等级1级限值要求。视频解码：支持HDMI 3D 格式解码、3D 图像运动降噪、3D 运动自适应梳状滤波等。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图像制式：PAL/SECAM/NTSC。触摸响应时间＜8毫秒。触摸有效识别≥2毫米。定位分辨率：32767*32767。红外触摸屏系统通讯端口：USB。触摸精准性：整机屏幕触摸有效识别高度小于3.5mm,，即触摸物体距离玻璃外表面高度低于3.5mm时，触摸屏识别为点击操作，保证触摸精准。触摸屏具有防遮挡功能，触摸接收器在单点或多点遮挡后仍能正常书写，确保老师课堂操作的流畅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14、触摸屏具有防光干扰功能，能在照度80K LUX（勒克司）环境下仍能正常工作。为保证触摸书写流畅度，书写延迟时间需控制在90ms以内。触摸框内部通道切换速度小于1秒，外部通道切换小于4秒，切换后即达到可触摸状态。触摸框免驱：支持Windows XP、Windows 7、Windows 8、Windows 8.1、Linux、Mac Os系统外置电脑操作系统接入时，无需安装触摸框驱动。书写方式：手指或笔触摸；</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为了方便老师课堂教学，系统提供软件快捷打开桌面入口，已安装软件可以通过桌面图标一键快速打开；未下载软件，可通过桌面图标进入下载界面。智能背光调节：整机能感应不同光照环境并自动调节屏幕亮度，此功能可自行开启或关闭。</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 主板采用H310芯片组，搭载不低于Intel 8代酷睿系列 i5CPU。内存不低于8GB DDR4笔记本内存或以上配置。硬盘：不低于256GB及以上SSD固态硬盘</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17、机身采用热浸镀锌金属材质，采用智能风扇低噪音散热设计,模块主体尺寸不小于22cm*17cm*3cm以预留足够散热空间，确保封闭空间内有效散热。电脑配置千兆有线网卡，内置双频(2.4G&amp;5G) 无线网卡，支持IEEE 802.11a/b/g/n/ac标准,并配备双频WiFi天线，高增益无线网络信号</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18、PC内置蓝牙：在Windows系统下，PC可通过蓝牙模块与蓝牙音箱连接，通过蓝牙音箱播放音频。采用抽拉内置式模块化电脑，电脑模块可完全嵌入整机，严丝合缝，无任何外凸、外露、外部接线等嵌入不严情况。遵循国际标准，采用120pin或以上接口，实现无单独接线的插拔。</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19、具有独立非外扩展的电脑USB接口：电脑上至少具备6个USB TypeA接口，其中USB3.0接口不少于4个，1个TypeC接口（支持TypeC接口的U盘插入使用）。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20、采用按压式卡扣，无需工具即可快速拆卸电脑模块。具有独立非外扩展的视频输出接口：≥1路VGA ；≥1路HDMI ；≥1路DP；≥1路Audio in；≥1路Audio out。具有标准PC防盗锁孔，确保电脑模块安全防盗。</w:t>
            </w:r>
            <w:r>
              <w:rPr>
                <w:rFonts w:hint="eastAsia" w:ascii="宋体" w:hAnsi="宋体" w:eastAsia="宋体" w:cs="宋体"/>
                <w:kern w:val="0"/>
                <w:sz w:val="20"/>
                <w:szCs w:val="20"/>
              </w:rPr>
              <w:br w:type="textWrapping"/>
            </w:r>
            <w:r>
              <w:rPr>
                <w:rFonts w:hint="eastAsia" w:ascii="宋体" w:hAnsi="宋体" w:eastAsia="宋体" w:cs="宋体"/>
                <w:kern w:val="0"/>
                <w:sz w:val="20"/>
                <w:szCs w:val="20"/>
              </w:rPr>
              <w:t>配套教学平台软件（以下平台软件功能均需提供国家级权威检测机构出具的检验报告复印件佐证）：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1、支持老师个人账号注册登录使用，也可通过USB key进行身份快速识别登录。支持课件云存储，无需使用U盘等存储设备，老师只需联网登录即可获取云课件。支持分组管理云课件，用户可自定义分组名称，并根据需要将课件分类管理，支持课件云同步，课件上的所有修改、操作均可实时同步至云端，无需单独保存上传，确保多终端调用同个课件均为最新版本。</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点对点分享云课件，用户可在软件中直接将课件发送给其它用户，同时也可以在软件中直接接收并打开其它用户分享的课件；同时支持链接分享课件，接收方打开链接后可直接输入账号获取课件。支持用户一键云同步所有已在软件中打开编辑的课件，无需逐一保存，节省备课时间。同时对于未同步成功的课件，软件将进行提示，保障所有课件都为最新修改内容。支持用户在软件中打开pptx格式文件，且用户可在软件中自由编辑原文件中的图片、文字、表格等元素，并支持修改原文件中的动画。方便老师利用软件互动功能在原有PPT基础上修改课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3、快捷抠图：无需借助专业图片处理软件，即可在白板软件中对导入的图片进行快捷抠图、去背景，处理后的图片主体边缘没有明显毛边，可导出保存成PNG格式。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互动分类游戏：支持创建互动分类游戏，可自定义不同类别及相对应的对象，实现将不同对象拖拽到对应的类别容器中可自动辨识分类，分类正确或错误均有相应提示。类别和对象的样式、数量均可以自定义设置。系统需提供不少于10种游戏模板，直接选择并输入相应内容即可轻松生成互动分类游戏，提升课堂趣味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智能选词填空：支持创建智能选词填空游戏，教师可随意编辑填空题题干以及相应的答案选项，将选项拖到对应题干空白处，系统将自动判别答案是否正确。系统需提供不少于9种游戏模板供老师选择，且模板样式支持自定义修改。</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6、智能配对游戏：支持创建配对游戏，教师可随意将知识点进行配对。当开始配对游戏时，拖动知识点进行配对，系统将自动判断是否正确。系统至少提供10种游戏模版，且模版样式支持自定义修改。</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7、分组竞争游戏：支持创建分组竞争游戏，教师可设置正确项／干扰项，让两组学生开展竞争游戏。系统提供不少于3种难度、10种游戏模版选择，且模版样式支持自定义修改。</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平面几何工具：支持输入任意长度线条，并可设置为线段、射线。支持输入任意边数及角度的图形，可显示或隐藏角度大小，并可直接通过修改角度编辑图形。支持输入任意角度的扇形及圆形，可显示角度大小。支持添加辅助线，可快速添加垂直线、分线、切线等。立体几何：支持绘制立方体、圆柱体等立体几何图形。支持任意调节立体几何图形的尺寸，改变长宽高比例。支持沿任意方向旋转立体几何。支持为长方体6个面分别涂色，并且可通过任意旋转观察涂色与未涂色的表面。支持立体图形吸附功能：移动立体图形相互靠近时，可智能识别并吸附，便于老师精确操作组合图形。数学画板功能：支持在白板中插入在线画板，授课时可以一键打开,方便老师配合课件内容进行讲解。提供超过500个数学画板资源，覆盖小学、初中、高中学段数学学科主要知识点，并按照知识点分类，便于老师查找。画板资源互动性强，利于老师讲解抽象知识点，如小学阶段的四边形互相转换资源，可支持点击，动态切换四边形形态；中学阶段的平方差公式资源，可支持图形展示平方差公式计算原理，并可改变数值，重复演示。支持老师创建个人画板，除了点、线、面等基础元素以外，画板还可提供线段中点、椭圆焦点、极坐标方程等数十种数学常用工具，保证老师日常备授课所需。创建完成后，老师可一键将画板插入白板，与课件无缝连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思维导图：提供思维导图、鱼骨图及组织结构图编辑功能，可轻松增删或拖拽编辑内容节点，并支持在节点上插入图片、音频、视频、网页链接、课件页面链接。支持思维导图逐级、逐个节点展开，并可任意缩放，满足不同演示需求。</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10、工具自定义：支持自定义设置授课模式白板工具按钮，老师可自行选择符合自身教学需要的教学工具，且教学工具自定义结果可与课件内容云端同步保存。</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11、学科工具：根据老师账号中设置的学科不同，相关联学科的教学工具会自动在备课模式工具栏中呈现，其他无关工具则隐藏到二级菜单中，供老师需要时再去选择。</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地球教学工具：提供立体地球教学工具，清晰展现地球表面的六大板块、降水分布、气温分布、气候分布、人口分布、表层洋流、陆地自然带、海平面等压线等内容，且支持三维、二维切换展示，方便地理学科教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13、3D星球模型：提供3D立体星球模型，包括地球、太阳、火星、水星、木星、金星、土星、海王星、天王星，支持360°自由旋转、缩放展示。</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幼儿园教学软件</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1、系统资源严格依据《3-6岁儿童学习与发展指南》与 《幼儿园指导纲要》编制而成，资源内容涵盖健康、语言、社会、科学、艺术等五个领域；</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2、系统主要分为资源和应用两大特色教学功能：</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2.1、资源包括：儿童普通读物动画和视频列表（300个以上）和动画视频资源列表（2600个以上），须提供全部资源列表。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2.2、应用包括：“主题课程、特色课堂、电子白板、工具”等。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3、系统提供相对成体系的课程，不仅仅是课件，老师授课一键调用资源及其方便简单。</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4、系统提供的主题课程，可支持电子书、动漫课堂，并具有活动目标、活动建议、快乐课堂和主题拓展。</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5、系统提供的特色课堂，可支持电子书、动漫课堂，并具有活动目标、活动建议、表演、诵读和拓展。</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6、系统提供的电子白板支持白板软件教学，可调整笔的粗细和九种以上字体颜色自定义，且可保存、撤销白板教学内容和发布到班级。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系统提供：主题绘本，礼仪与安全，国学经典，幼儿才艺，剑桥主题英语，剑桥互动英语，经典童话故事，行为习惯故事，汉字速学速记，多元主题活动，潜能互动课程，手指操，蒙氏快乐阅读13类五大领域教育资源。</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8、提供配套的纸质绘本和电子课件，可以满足不同幼儿园教学需求。</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9、系统资源涉及到flash、swf、jpg、png、mp3、mp4共计6种媒体类型。幼教系统包含2900条以上1080P高清视频和高清动画资源，资源大小在45GB以上。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10、软件具有白板软件功能，可以进行书写、擦除、重点标注等，且在重要知识点配备教参指导功能，方便老师教学。</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11、软件应为单机安装版本，在无网情况下能正常使用。软件安装便捷，可以一键式安装，用户完全可以实现自行安装。</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8、LED显示发布系统</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户外P10LED显示屏</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产品尺寸：长5220*高420*深100mm（含网络控制卡）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1、像素点间距：10mm；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2、模组尺寸:320mm*160mm；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3、像素密度：10000Dot/㎡；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4、像素构成：1R；</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5、封装形式：SMD2835；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6、单元板分辨率：32*16=512Dots；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7、水平视角：≧160°；垂直视角≥145°；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8、最大功耗≤406W/㎡（样品需处于全白状态测得的功耗）；</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9、最大亮度≥2205cd/㎡；</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10、最大对比度≧4641:1（通过按照SJ/T 11281中规定的方法进行测量）；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11、刷新频率≥1090Hz；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12、驱动方式：1/4扫恒压驱动；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13、工作环境温度-20℃-50℃；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14、开关电源负荷5V/40A；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15、工作电压AC220V±10%/50HZ；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16、灰度/颜色16K≥16.7m；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17、亮度调节方式手动：256级/自动：8级；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18、输入信号RF,S-Video,RGB,TGBH,YUV,YC；</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19、控制系统采用网口；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20、平均无故障时间≥1万小时；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21、使用寿命≥10万小时；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22、杂点率＜0.0001(万分之一)；</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23、防水等级：IP65；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24、维护方式：后维护。</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2.2</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9、LED显示发布系统</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9.1、二层小会议室</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86寸会议平板</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1、采用A级液晶面板，LED背光源，屏幕尺寸≥86英寸，显示比例16:9，亮度≥430 cd/㎡，物理解析度≥3840×2160，可视角度≥178°；</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2、一体化设计，全金属外壳，铝合金外面框，弧形转角，表面无尖锐边缘或突起，确保用户使用安全，外部无任何可见内部功能模块的连接线；（提供权威机构出具的检测报告）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3、设备前置USB≥7个，其中跟随USB≥4个（可同时在安卓系统和内置Windows系统下识别），MEDIA USB≥1个，OPS USB≥1个，TOUCH USB≥1个，HDMI IN≥1个,方便用户日常使用；（提供权威机构出具的检测报告）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4、其它接口： HDMI IN≥3个，DP IN≥1个，VGA IN≥1个，TV IN≥1个，AV IN≥1个，YPBPR IN≥1个，SPDIF IN≥1个，AUDIO IN≥1个，OPS≥1个，EARPHONE OUT≥1个，SPEAK-L≥1个、SPEAK-R≥1个，TOUCH-USB≥1个，RS232≥1个，RJ45≥2个；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5、屏幕表面采用≥4mm防眩、防爆全钢化玻璃，采用非接触式红外十点及以上触控技术；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6、红外模块部分被遮挡，不影响其他非遮挡区域的书写，不影响整个系统的正常工作，当触控屏扭曲变形达到11度仍然可以实现多点触控，书写线体连贯、无断线；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7、设备集成指纹管理功能，支持不小于256个指纹数的连续录入，并可一键清空所有指纹数据；（提供权威机构出具的检测报告）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8、通过指纹识别可对设备进行锁屏与开屏控制，让用户使用更加安全；（提供权威机构出具的检测报告）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9、设备内置智能保护系统，可防止因突发断电、意外断电等引起的内置电脑系统崩溃或损坏，保证系统正常工作；（提供权威机构出具的检测报告）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10、无需任何外置连接线，电脑、手机、手持平板可轻松将画面内容无线传屏至会议平板上。手机、pad还可以作为遥控器对设备进行控制操作；（提供权威机构出具的检测报告）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11、设备具有5G/2.4G双频WiFi，联网之后即可变身“无线路由器”，其它设备连接之后不仅可以投屏，还可以正常上网；（提供权威机构出具的检测报告）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12、为便于后期维护及升级，触摸框采用前维护结构设计，即在不取下一体机的情况下可拆卸触摸框；（提供权威机构出具的检测报告）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13、前置快捷物理按键不少于10个，在不使用遥控器的情况下可以使用前置物理按键实现信号通道选择，OSD菜单调用和上下左右功能调整，并具有电脑开关机控制快捷按钮；（提供权威机构出具的检测报告）</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14、书写记录及批注内容可生成二维码，通过扫描二维码即可分享或保存。同时还可一键本地保存和邮件发送，多样化便捷的保存分享方式，让会议记录变得轻松简单；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15、通过手势可从左右两侧调出全菜单，具有信号源选择、白板批注、系统设置、返回等全触摸操作；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16、能够通过手势识别快速调取板擦，同时满足橡皮擦的点擦除，区域擦除和清屏擦除的功能；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17、在无PC状态下，可通过触摸调出快捷菜单，实现任意通道书写、擦除、返回等功能，并且可以实现截屏，并把截屏图片保存到U盘中；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18、安卓主页可预览多个信号源通道内容，最多支持四个信号源通道画面显示，选定通道可快速进入；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19、设备外接电脑时，可自动切换信号源。</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vAlign w:val="center"/>
          </w:tcPr>
          <w:p>
            <w:pPr>
              <w:widowControl/>
              <w:jc w:val="left"/>
              <w:rPr>
                <w:rFonts w:ascii="宋体" w:hAnsi="宋体" w:eastAsia="宋体" w:cs="宋体"/>
                <w:b/>
                <w:bCs/>
                <w:kern w:val="0"/>
                <w:sz w:val="20"/>
                <w:szCs w:val="20"/>
              </w:rPr>
            </w:pPr>
            <w:r>
              <w:rPr>
                <w:rFonts w:hint="eastAsia" w:ascii="宋体" w:hAnsi="宋体" w:eastAsia="宋体" w:cs="宋体"/>
                <w:b/>
                <w:bCs/>
                <w:kern w:val="0"/>
                <w:sz w:val="20"/>
                <w:szCs w:val="20"/>
              </w:rPr>
              <w:t>9.2、三层多功能厅</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高清投影机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1、亮度：≥5200流明(ISO21118标准)；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2、标准分辨率：1280x800，兼容1920x1200,1920x1080，1024x768；显示宽高比：16：10（兼容4：3，16：9）；</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3、对比度：≥10000：1；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4、成像技术：3LCD技术；成像系统：多晶硅有源矩阵式液晶显示板≥0.59英寸（显示宽高比16：10）；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5、整机功率：正常模式≤420W；重量：≥6.8KG；操作温度：0—40℃；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6、灯泡：≥300W(为保证机器足够的亮度)；标准模式4000小时/ECO模式6000小时；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7、接口：HDMI(1路为MHL接口)输入接口x2、VGA输入x1、video输入x1、HDMI输出x1、AUDIO（3.5mm）输入x1、AUDIO输入（LR）x1、IR控制输入x1、AUDIO输出x1、VGA输出x1、IR控制输出x1、LAN接口x1、USB接口x1；</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119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 xml:space="preserve">投影机专用吊架 </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行程1.5米，承重13.6KG。</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幅</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电动投影幕布</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电动投影幕150寸16:10。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室内P4.75LED条屏</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屏体尺寸：长8258*高506*深90mm（含网络控制卡）</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1、像素点间距：4.75mm；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2、模组尺寸:304mm*152mm；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3、像素密度：44321Dot/㎡；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4、像素构成：1R；</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5、封装形式：SMD2020；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6、单元板分辨率：64*32=2048Dots；</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7、水平视角：≧150°；垂直视角≥130°；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8、最大功耗≤300W/㎡（样品需处于全白状态测得的功耗）；</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9、最大亮度≥218cd/㎡；</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10、最大对比度≧463:1（通过按照SJ/T 11281中规定的方法进行测量）；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11、刷新频率≥2180Hz；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12、驱动方式：1/16扫恒压驱动；</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13、工作环境温度-20℃-50℃；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14、开关电源负荷5V/40A；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15、工作电压AC220V±10%/50HZ；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16、灰度/颜色16K≥16.7m；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17、亮度调节方式手动：256级/自动：8级；</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18、输入信号RF,S-Video,RGB,TGBH,YUV,YC；</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19、控制系统采用网口；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20、平均无故障时间≥1万小时；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21、使用寿命≥10万小时；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22、杂点率＜0.0001(万分之一)；</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23、防水等级：IP65；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24、维护方式：后维护。</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4.2</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音箱</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1、频响范围：50Hz-18KHz；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2、灵敏度：91dB；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3、额定功率：250W；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4、峰值功率：400W；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5、最大声压级：105dB continuous,111dB peak；</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6、阻抗：8（Ω）；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7、低音：10’’x1只 高音：1’’x1只；</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8、连接方式：两个NL4插座FR:1+1-Link thr0’:2+2-；</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9、覆盖角：90度x50度。</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4</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功率放大器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1、额定功率(20Hz-20KHz,≤0.1%THD)</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 8Ω 立体声 400Wx2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2) 4Ω立体声 600Wx2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3) 2Ω 立体声 500Wx2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4) 8Ω 桥接 700Wx1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5) 4Ω桥接 800Wx1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2、具备直流保护 、短路保护 、灵敏过热管理系统 、过热保护 、输入过载保护 、输出过载保护 、软起动保护 、限副保护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3、频率响应（1W8Ω） 20Hz-20KHz+0/-0.3dB；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4、灵敏试（1KH 8Ω) 0．775 ；V</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5、接线端子 输入接线端子 母卡龙；</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6、输出接线端子 四苡方座4P；</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7、输入阻抗 平衡输入 20KΩ；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8、非常平衡输入 10KΩ；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9、串音衰减 ≥86dB；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10、信噪比（A计权，额定功率8Ω） ≥109dB；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 xml:space="preserve">11、阻尼系数（1KHz&amp;8Ω) ≥1000；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12、互调失真（20Hz-20KHz，半功率） ≤0.02%。</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调音台</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1、频率响应：±15dB。；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2、最大电动势增益：80；</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3、最大线路增益：75；</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4、等效输入噪声源电动势：≤-110dBm(1kHz)；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5、剩余噪声输出电压：≤-85dBm；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6、总谐波失真（20Hz-20kHz）:≤0.07%；</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7、互调失真:≤0.1%；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8、通道间的增益差：≤0.01dB；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9、通道间的相位差（60Hz～10kHz）：≤0.6º；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10、通道间的串音衰减（1kHz）:≤-70dB；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11、输入阻抗：麦克风/MIC：3.3KΩ、线路/LINE：9.4KΩ；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12、输出源阻抗：120Ω；</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13、输出最大电平：30dBm；</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14、提供生产厂家本产品所涉及由国家版权局颁发的《计算机软件著作权证书》的“调音音频处理嵌入式软件V4.01”软件著作权以及中国版权保护中心备案截图。</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电源时序器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1、十路（前面板2个直通式万用插座,后面板8个受控万用插）电源时序器适用于音响、电脑、电视广播系统及其它需要按顺序启动的用电设备，有效控制开关机规则；</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2、有保护音响器材免受电流冲击，减少用电设备对输电线路的冲击电流；</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3、最大输入电流 60A；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4、单路最大输出电流 30A；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5、工作电压 220V/50-60Hz；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6、每一路功率 可达3000W；</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7、输入与输出电压 AC输入电压=AC输出电压（下订单前请说明，可选配电压：110V输入=110V输出，220V输入=220V输出）；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8、输出电源插座 万用插座,符合欧美标准。前面板2个直通式万用插座,后面板8个受控万用插；</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9、插座材质 每个插座材质磷铜，均通过检验才安装；</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10、每一路开关间隔时间 1秒 ，每一路带指示灯，前端配置一个保险开关隐藏按钮（空心圆）。</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一拖二无线手持话筒</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1、射频范围：512MHz--792MHz (可选A\B\C\D\E频组组合)；</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2、频率响应：35Hz~18KHz±3dB；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3、振荡方式：PLL；</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4、频带宽度：245KHz；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5、动态范围：≥100dB；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6、综合失真：≤0.5%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7、接收方式：自动选讯接收；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8、谐波干扰比： &gt;80dB；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9、综合信噪比：&gt;105dB；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10、偏移度：±48KHz；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11、灵敏度：5dBuv。</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反馈抑制器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 xml:space="preserve">1、移频方式：全自动 带48V幻像电源；  </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2、输入方式：平衡/非平衡输入（平衡输入阻抗20K，非平衡输入阻抗10K）.四通道输入；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3、输出方式:平衡/非平衡输出(平衡输出阻抗47K,非平衡输出阻抗24K)。四通道输出；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4、输入输出接口采用卡龙和6.35单插多用接口；</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5、频带响应：(移频 模式)60Hz---15KHz；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6、(直通模式）20Hz---20KHz；</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7、电平增益：10dB；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8、信噪比:102dB；</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9、使用电源：220V/50Hz交流电网电压；</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10、由本公司自主开发的APP控制器简单易用，可实现对产品的全面的控制和设置。(提供此设备APP软件操作调试界面截图须体现8种模式和主声道+中置+环绕+低音炮、音乐变调功能）</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无线投屏器</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1、Android/RK3288/ARM Cortex A17 x 4/RAM2G/ ROM8G</w:t>
            </w:r>
            <w:r>
              <w:rPr>
                <w:rFonts w:hint="eastAsia" w:ascii="宋体" w:hAnsi="宋体" w:eastAsia="宋体" w:cs="宋体"/>
                <w:kern w:val="0"/>
                <w:sz w:val="20"/>
                <w:szCs w:val="20"/>
              </w:rPr>
              <w:br w:type="textWrapping"/>
            </w:r>
            <w:r>
              <w:rPr>
                <w:rFonts w:hint="eastAsia" w:ascii="宋体" w:hAnsi="宋体" w:eastAsia="宋体" w:cs="宋体"/>
                <w:kern w:val="0"/>
                <w:sz w:val="20"/>
                <w:szCs w:val="20"/>
              </w:rPr>
              <w:t>WiFi性能：双频双Wifi模块 802.11/ac/ 300~1200Mbps/蓝牙模块；</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2、支持Windows、Mac、iOS 、Android等终端无缝切换至大屏显示；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3、USB/TYPE-C/HDMI三合一无线发射装置， 即插即用免驱动安装；</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4、支持电脑手机不同终端同时无线投屏，支持4画面分割同步；</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5、支持电脑拓展桌面，书写板工具、会议主持人控制投屏模式；</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6、支持鼠标键盘、触控框、电子白板、摄像头等USB数据回传；</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7、分辨率支持720P，1080P，4K；HDMI+VGA+音频分离输出；</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8、支持多发一收、一发多收、多发多收，互动传屏，智慧教室；</w:t>
            </w:r>
            <w:r>
              <w:rPr>
                <w:rFonts w:hint="eastAsia" w:ascii="宋体" w:hAnsi="宋体" w:eastAsia="宋体" w:cs="宋体"/>
                <w:kern w:val="0"/>
                <w:sz w:val="20"/>
                <w:szCs w:val="20"/>
              </w:rPr>
              <w:br w:type="textWrapping"/>
            </w:r>
            <w:r>
              <w:rPr>
                <w:rFonts w:hint="eastAsia" w:ascii="宋体" w:hAnsi="宋体" w:eastAsia="宋体" w:cs="宋体"/>
                <w:kern w:val="0"/>
                <w:sz w:val="20"/>
                <w:szCs w:val="20"/>
              </w:rPr>
              <w:t>9、开放网络及RS232控制协议、SDK；集控APP，WEB管理；</w:t>
            </w:r>
            <w:r>
              <w:rPr>
                <w:rFonts w:hint="eastAsia" w:ascii="宋体" w:hAnsi="宋体" w:eastAsia="宋体" w:cs="宋体"/>
                <w:kern w:val="0"/>
                <w:sz w:val="20"/>
                <w:szCs w:val="20"/>
              </w:rPr>
              <w:br w:type="textWrapping"/>
            </w:r>
            <w:r>
              <w:rPr>
                <w:rFonts w:hint="eastAsia" w:ascii="宋体" w:hAnsi="宋体" w:eastAsia="宋体" w:cs="宋体"/>
                <w:kern w:val="0"/>
                <w:sz w:val="20"/>
                <w:szCs w:val="20"/>
              </w:rPr>
              <w:t>10、有SRRC无线型号核准证书。</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套</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音箱线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音箱线</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120</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辅材</w:t>
            </w:r>
          </w:p>
        </w:tc>
        <w:tc>
          <w:tcPr>
            <w:tcW w:w="453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接插件等</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项</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131</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机柜</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600*600*1200mm</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noWrap/>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0" w:type="auto"/>
            <w:gridSpan w:val="5"/>
            <w:tcBorders>
              <w:top w:val="single" w:color="auto" w:sz="4" w:space="0"/>
              <w:left w:val="single" w:color="auto" w:sz="8" w:space="0"/>
              <w:bottom w:val="single" w:color="auto" w:sz="4" w:space="0"/>
              <w:right w:val="single" w:color="000000" w:sz="8" w:space="0"/>
            </w:tcBorders>
            <w:shd w:val="clear" w:color="auto" w:fill="auto"/>
            <w:noWrap/>
            <w:vAlign w:val="center"/>
          </w:tcPr>
          <w:p>
            <w:pPr>
              <w:widowControl/>
              <w:jc w:val="left"/>
              <w:rPr>
                <w:rFonts w:ascii="宋体" w:hAnsi="宋体" w:eastAsia="宋体" w:cs="宋体"/>
                <w:b/>
                <w:bCs/>
                <w:kern w:val="0"/>
                <w:sz w:val="22"/>
              </w:rPr>
            </w:pPr>
            <w:r>
              <w:rPr>
                <w:rFonts w:hint="eastAsia" w:ascii="宋体" w:hAnsi="宋体" w:eastAsia="宋体" w:cs="宋体"/>
                <w:b/>
                <w:bCs/>
                <w:kern w:val="0"/>
                <w:sz w:val="22"/>
              </w:rPr>
              <w:t>10、网络机房建设</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132</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10KVA UPS主机</w:t>
            </w:r>
          </w:p>
        </w:tc>
        <w:tc>
          <w:tcPr>
            <w:tcW w:w="453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1、标称容量： 10KVA；</w:t>
            </w:r>
            <w:r>
              <w:rPr>
                <w:rFonts w:hint="eastAsia" w:ascii="宋体" w:hAnsi="宋体" w:eastAsia="宋体" w:cs="宋体"/>
                <w:kern w:val="0"/>
                <w:sz w:val="20"/>
                <w:szCs w:val="20"/>
              </w:rPr>
              <w:br w:type="textWrapping"/>
            </w:r>
            <w:r>
              <w:rPr>
                <w:rFonts w:hint="eastAsia" w:ascii="宋体" w:hAnsi="宋体" w:eastAsia="宋体" w:cs="宋体"/>
                <w:kern w:val="0"/>
                <w:sz w:val="20"/>
                <w:szCs w:val="20"/>
              </w:rPr>
              <w:t>2、输出电压范围：220Vac±2%；</w:t>
            </w:r>
            <w:r>
              <w:rPr>
                <w:rFonts w:hint="eastAsia" w:ascii="宋体" w:hAnsi="宋体" w:eastAsia="宋体" w:cs="宋体"/>
                <w:kern w:val="0"/>
                <w:sz w:val="20"/>
                <w:szCs w:val="20"/>
              </w:rPr>
              <w:br w:type="textWrapping"/>
            </w:r>
            <w:r>
              <w:rPr>
                <w:rFonts w:hint="eastAsia" w:ascii="宋体" w:hAnsi="宋体" w:eastAsia="宋体" w:cs="宋体"/>
                <w:kern w:val="0"/>
                <w:sz w:val="20"/>
                <w:szCs w:val="20"/>
              </w:rPr>
              <w:t>3、输出频率精度：市电模式同步状态下跟踪旁路输入；电池模式50Hz/60Hz±0.1%；</w:t>
            </w:r>
            <w:r>
              <w:rPr>
                <w:rFonts w:hint="eastAsia" w:ascii="宋体" w:hAnsi="宋体" w:eastAsia="宋体" w:cs="宋体"/>
                <w:kern w:val="0"/>
                <w:sz w:val="20"/>
                <w:szCs w:val="20"/>
              </w:rPr>
              <w:br w:type="textWrapping"/>
            </w:r>
            <w:r>
              <w:rPr>
                <w:rFonts w:hint="eastAsia" w:ascii="宋体" w:hAnsi="宋体" w:eastAsia="宋体" w:cs="宋体"/>
                <w:kern w:val="0"/>
                <w:sz w:val="20"/>
                <w:szCs w:val="20"/>
              </w:rPr>
              <w:t>4、过载能力：105%&lt;负载≤150％维持30s后转旁路，负载&gt;150％300毫秒后转旁路；</w:t>
            </w:r>
            <w:r>
              <w:rPr>
                <w:rFonts w:hint="eastAsia" w:ascii="宋体" w:hAnsi="宋体" w:eastAsia="宋体" w:cs="宋体"/>
                <w:kern w:val="0"/>
                <w:sz w:val="20"/>
                <w:szCs w:val="20"/>
              </w:rPr>
              <w:br w:type="textWrapping"/>
            </w:r>
            <w:r>
              <w:rPr>
                <w:rFonts w:hint="eastAsia" w:ascii="宋体" w:hAnsi="宋体" w:eastAsia="宋体" w:cs="宋体"/>
                <w:kern w:val="0"/>
                <w:sz w:val="20"/>
                <w:szCs w:val="20"/>
              </w:rPr>
              <w:t>5、报警功能：电池低压，市电异常，过载，UPS故障、过温保护；</w:t>
            </w:r>
            <w:r>
              <w:rPr>
                <w:rFonts w:hint="eastAsia" w:ascii="宋体" w:hAnsi="宋体" w:eastAsia="宋体" w:cs="宋体"/>
                <w:kern w:val="0"/>
                <w:sz w:val="20"/>
                <w:szCs w:val="20"/>
              </w:rPr>
              <w:br w:type="textWrapping"/>
            </w:r>
            <w:r>
              <w:rPr>
                <w:rFonts w:hint="eastAsia" w:ascii="宋体" w:hAnsi="宋体" w:eastAsia="宋体" w:cs="宋体"/>
                <w:kern w:val="0"/>
                <w:sz w:val="20"/>
                <w:szCs w:val="20"/>
              </w:rPr>
              <w:t>保护功能：输入过压保护、电池欠压保护、过载保护、短路保护、过温保护；</w:t>
            </w:r>
            <w:r>
              <w:rPr>
                <w:rFonts w:hint="eastAsia" w:ascii="宋体" w:hAnsi="宋体" w:eastAsia="宋体" w:cs="宋体"/>
                <w:kern w:val="0"/>
                <w:sz w:val="20"/>
                <w:szCs w:val="20"/>
              </w:rPr>
              <w:br w:type="textWrapping"/>
            </w:r>
            <w:r>
              <w:rPr>
                <w:rFonts w:hint="eastAsia" w:ascii="宋体" w:hAnsi="宋体" w:eastAsia="宋体" w:cs="宋体"/>
                <w:kern w:val="0"/>
                <w:sz w:val="20"/>
                <w:szCs w:val="20"/>
              </w:rPr>
              <w:t>6、为了便于维护,主机与电池同一厂家；</w:t>
            </w:r>
            <w:r>
              <w:rPr>
                <w:rFonts w:hint="eastAsia" w:ascii="宋体" w:hAnsi="宋体" w:eastAsia="宋体" w:cs="宋体"/>
                <w:kern w:val="0"/>
                <w:sz w:val="20"/>
                <w:szCs w:val="20"/>
              </w:rPr>
              <w:br w:type="textWrapping"/>
            </w:r>
            <w:r>
              <w:rPr>
                <w:rFonts w:hint="eastAsia" w:ascii="宋体" w:hAnsi="宋体" w:eastAsia="宋体" w:cs="宋体"/>
                <w:kern w:val="0"/>
                <w:sz w:val="20"/>
                <w:szCs w:val="20"/>
              </w:rPr>
              <w:t>7、具备蓄电池充电器输出电压自动补偿装置：保证UPS输出电压一直处在极板P-V曲线右边，不会引起输出电流跳变现象，保证更高效的利用电池能量；（提供省级或省级以上部门授予该硬件技术证书复印件证明）</w:t>
            </w:r>
            <w:r>
              <w:rPr>
                <w:rFonts w:hint="eastAsia" w:ascii="宋体" w:hAnsi="宋体" w:eastAsia="宋体" w:cs="宋体"/>
                <w:kern w:val="0"/>
                <w:sz w:val="20"/>
                <w:szCs w:val="20"/>
              </w:rPr>
              <w:br w:type="textWrapping"/>
            </w:r>
            <w:r>
              <w:rPr>
                <w:rFonts w:hint="eastAsia" w:ascii="宋体" w:hAnsi="宋体" w:eastAsia="宋体" w:cs="宋体"/>
                <w:kern w:val="0"/>
                <w:sz w:val="20"/>
                <w:szCs w:val="20"/>
              </w:rPr>
              <w:t>8、UPS设备供应商应入围国家级企业技术中心名单。（需提供相关证明资料）</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133</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蓄电池</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38AH/12V。</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节</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134</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电池柜</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16节电池柜。</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个</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135</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金属线槽</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规格：200*100mm。</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136</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UPS主机电源电缆</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WDZB-YJV-5×10。</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25</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137</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电池柜电源线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BVR-16。</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5</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138</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机柜电源线</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WDZB-BYJ3*4。</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米</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139</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服务器机柜</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600*1000*2000mm</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3</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20"/>
                <w:szCs w:val="20"/>
              </w:rPr>
            </w:pPr>
            <w:r>
              <w:rPr>
                <w:rFonts w:hint="eastAsia" w:ascii="宋体" w:hAnsi="宋体" w:eastAsia="宋体" w:cs="宋体"/>
                <w:kern w:val="0"/>
                <w:sz w:val="20"/>
                <w:szCs w:val="20"/>
              </w:rPr>
              <w:t>140</w:t>
            </w:r>
          </w:p>
        </w:tc>
        <w:tc>
          <w:tcPr>
            <w:tcW w:w="1421"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20"/>
                <w:szCs w:val="20"/>
              </w:rPr>
            </w:pPr>
            <w:r>
              <w:rPr>
                <w:rFonts w:hint="eastAsia" w:ascii="宋体" w:hAnsi="宋体" w:eastAsia="宋体" w:cs="宋体"/>
                <w:kern w:val="0"/>
                <w:sz w:val="20"/>
                <w:szCs w:val="20"/>
              </w:rPr>
              <w:t>壁挂空调</w:t>
            </w:r>
          </w:p>
        </w:tc>
        <w:tc>
          <w:tcPr>
            <w:tcW w:w="453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20"/>
                <w:szCs w:val="20"/>
              </w:rPr>
            </w:pPr>
            <w:r>
              <w:rPr>
                <w:rFonts w:hint="eastAsia" w:ascii="宋体" w:hAnsi="宋体" w:eastAsia="宋体" w:cs="宋体"/>
                <w:kern w:val="0"/>
                <w:sz w:val="20"/>
                <w:szCs w:val="20"/>
              </w:rPr>
              <w:t>壁挂1.5P空调</w:t>
            </w:r>
          </w:p>
        </w:tc>
        <w:tc>
          <w:tcPr>
            <w:tcW w:w="713"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宋体" w:cs="宋体"/>
                <w:kern w:val="0"/>
                <w:sz w:val="20"/>
                <w:szCs w:val="20"/>
              </w:rPr>
            </w:pPr>
            <w:r>
              <w:rPr>
                <w:rFonts w:hint="eastAsia" w:ascii="宋体" w:hAnsi="宋体" w:eastAsia="宋体" w:cs="宋体"/>
                <w:kern w:val="0"/>
                <w:sz w:val="20"/>
                <w:szCs w:val="20"/>
              </w:rPr>
              <w:t>台</w:t>
            </w:r>
          </w:p>
        </w:tc>
      </w:tr>
      <w:tr>
        <w:tblPrEx>
          <w:tblCellMar>
            <w:top w:w="0" w:type="dxa"/>
            <w:left w:w="108" w:type="dxa"/>
            <w:bottom w:w="0" w:type="dxa"/>
            <w:right w:w="108" w:type="dxa"/>
          </w:tblCellMar>
        </w:tblPrEx>
        <w:trPr>
          <w:trHeight w:val="405" w:hRule="atLeast"/>
        </w:trPr>
        <w:tc>
          <w:tcPr>
            <w:tcW w:w="8286" w:type="dxa"/>
            <w:gridSpan w:val="5"/>
            <w:tcBorders>
              <w:top w:val="nil"/>
              <w:left w:val="single" w:color="auto" w:sz="8" w:space="0"/>
              <w:bottom w:val="single" w:color="auto" w:sz="4" w:space="0"/>
              <w:right w:val="single" w:color="auto" w:sz="8" w:space="0"/>
            </w:tcBorders>
            <w:shd w:val="clear" w:color="auto" w:fill="auto"/>
            <w:vAlign w:val="center"/>
          </w:tcPr>
          <w:p>
            <w:pPr>
              <w:widowControl/>
              <w:jc w:val="left"/>
              <w:rPr>
                <w:rFonts w:hint="eastAsia" w:ascii="宋体" w:hAnsi="宋体" w:eastAsia="宋体" w:cs="宋体"/>
                <w:kern w:val="0"/>
                <w:sz w:val="20"/>
                <w:szCs w:val="20"/>
              </w:rPr>
            </w:pPr>
            <w:r>
              <w:rPr>
                <w:rFonts w:ascii="宋体" w:hAnsi="宋体" w:eastAsia="宋体" w:cs="宋体"/>
                <w:b/>
                <w:bCs/>
                <w:kern w:val="0"/>
                <w:sz w:val="22"/>
              </w:rPr>
              <w:t>11</w:t>
            </w:r>
            <w:r>
              <w:rPr>
                <w:rFonts w:hint="eastAsia" w:ascii="宋体" w:hAnsi="宋体" w:eastAsia="宋体" w:cs="宋体"/>
                <w:b/>
                <w:bCs/>
                <w:kern w:val="0"/>
                <w:sz w:val="22"/>
              </w:rPr>
              <w:t>、智能测温系统</w:t>
            </w:r>
          </w:p>
        </w:tc>
      </w:tr>
      <w:tr>
        <w:tblPrEx>
          <w:tblCellMar>
            <w:top w:w="0" w:type="dxa"/>
            <w:left w:w="108" w:type="dxa"/>
            <w:bottom w:w="0" w:type="dxa"/>
            <w:right w:w="108" w:type="dxa"/>
          </w:tblCellMar>
        </w:tblPrEx>
        <w:trPr>
          <w:trHeight w:val="405" w:hRule="atLeast"/>
        </w:trPr>
        <w:tc>
          <w:tcPr>
            <w:tcW w:w="837"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14</w:t>
            </w:r>
            <w:r>
              <w:rPr>
                <w:rFonts w:ascii="宋体" w:hAnsi="宋体" w:eastAsia="宋体" w:cs="宋体"/>
                <w:kern w:val="0"/>
                <w:sz w:val="20"/>
                <w:szCs w:val="20"/>
              </w:rPr>
              <w:t>1</w:t>
            </w:r>
          </w:p>
        </w:tc>
        <w:tc>
          <w:tcPr>
            <w:tcW w:w="1421" w:type="dxa"/>
            <w:tcBorders>
              <w:top w:val="nil"/>
              <w:left w:val="nil"/>
              <w:bottom w:val="single" w:color="auto" w:sz="8"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智能人脸测温一体机</w:t>
            </w:r>
          </w:p>
        </w:tc>
        <w:tc>
          <w:tcPr>
            <w:tcW w:w="4536" w:type="dxa"/>
            <w:tcBorders>
              <w:top w:val="nil"/>
              <w:left w:val="nil"/>
              <w:bottom w:val="single" w:color="auto" w:sz="8" w:space="0"/>
              <w:right w:val="single" w:color="auto" w:sz="4" w:space="0"/>
            </w:tcBorders>
            <w:shd w:val="clear" w:color="auto" w:fill="auto"/>
            <w:vAlign w:val="center"/>
          </w:tcPr>
          <w:p>
            <w:pPr>
              <w:widowControl/>
              <w:jc w:val="left"/>
              <w:rPr>
                <w:rFonts w:ascii="宋体" w:hAnsi="宋体" w:eastAsia="宋体" w:cs="宋体"/>
                <w:kern w:val="0"/>
                <w:sz w:val="20"/>
                <w:szCs w:val="20"/>
              </w:rPr>
            </w:pPr>
            <w:r>
              <w:rPr>
                <w:rFonts w:hint="eastAsia" w:ascii="宋体" w:hAnsi="宋体" w:eastAsia="宋体" w:cs="宋体"/>
                <w:kern w:val="0"/>
                <w:sz w:val="20"/>
                <w:szCs w:val="20"/>
              </w:rPr>
              <w:t>1、人脸识别时间≥2</w:t>
            </w:r>
            <w:r>
              <w:rPr>
                <w:rFonts w:ascii="宋体" w:hAnsi="宋体" w:eastAsia="宋体" w:cs="宋体"/>
                <w:kern w:val="0"/>
                <w:sz w:val="20"/>
                <w:szCs w:val="20"/>
              </w:rPr>
              <w:t>00</w:t>
            </w:r>
            <w:r>
              <w:rPr>
                <w:rFonts w:hint="eastAsia" w:ascii="宋体" w:hAnsi="宋体" w:eastAsia="宋体" w:cs="宋体"/>
                <w:kern w:val="0"/>
                <w:sz w:val="20"/>
                <w:szCs w:val="20"/>
              </w:rPr>
              <w:t>ms；</w:t>
            </w:r>
          </w:p>
          <w:p>
            <w:pPr>
              <w:widowControl/>
              <w:jc w:val="left"/>
              <w:rPr>
                <w:rFonts w:ascii="宋体" w:hAnsi="宋体" w:eastAsia="宋体" w:cs="宋体"/>
                <w:kern w:val="0"/>
                <w:sz w:val="20"/>
                <w:szCs w:val="20"/>
              </w:rPr>
            </w:pPr>
            <w:r>
              <w:rPr>
                <w:rFonts w:ascii="宋体" w:hAnsi="宋体" w:eastAsia="宋体" w:cs="宋体"/>
                <w:kern w:val="0"/>
                <w:sz w:val="20"/>
                <w:szCs w:val="20"/>
              </w:rPr>
              <w:t>2</w:t>
            </w:r>
            <w:r>
              <w:rPr>
                <w:rFonts w:hint="eastAsia" w:ascii="宋体" w:hAnsi="宋体" w:eastAsia="宋体" w:cs="宋体"/>
                <w:kern w:val="0"/>
                <w:sz w:val="20"/>
                <w:szCs w:val="20"/>
              </w:rPr>
              <w:t>、人脸库容≥1万；</w:t>
            </w:r>
          </w:p>
          <w:p>
            <w:pPr>
              <w:widowControl/>
              <w:jc w:val="left"/>
              <w:rPr>
                <w:rFonts w:ascii="宋体" w:hAnsi="宋体" w:eastAsia="宋体" w:cs="宋体"/>
                <w:kern w:val="0"/>
                <w:sz w:val="20"/>
                <w:szCs w:val="20"/>
              </w:rPr>
            </w:pPr>
            <w:r>
              <w:rPr>
                <w:rFonts w:hint="eastAsia" w:ascii="宋体" w:hAnsi="宋体" w:eastAsia="宋体" w:cs="宋体"/>
                <w:kern w:val="0"/>
                <w:sz w:val="20"/>
                <w:szCs w:val="20"/>
              </w:rPr>
              <w:t>3、</w:t>
            </w:r>
            <w:r>
              <w:rPr>
                <w:rFonts w:ascii="宋体" w:hAnsi="宋体" w:eastAsia="宋体" w:cs="宋体"/>
                <w:kern w:val="0"/>
                <w:sz w:val="20"/>
                <w:szCs w:val="20"/>
              </w:rPr>
              <w:t>测温范围</w:t>
            </w:r>
            <w:r>
              <w:rPr>
                <w:rFonts w:hint="eastAsia" w:ascii="宋体" w:hAnsi="宋体" w:eastAsia="宋体" w:cs="宋体"/>
                <w:kern w:val="0"/>
                <w:sz w:val="20"/>
                <w:szCs w:val="20"/>
              </w:rPr>
              <w:t>：</w:t>
            </w:r>
            <w:r>
              <w:rPr>
                <w:rFonts w:ascii="宋体" w:hAnsi="宋体" w:eastAsia="宋体" w:cs="宋体"/>
                <w:kern w:val="0"/>
                <w:sz w:val="20"/>
                <w:szCs w:val="20"/>
              </w:rPr>
              <w:t>30</w:t>
            </w:r>
            <w:r>
              <w:rPr>
                <w:rFonts w:hint="eastAsia" w:ascii="宋体" w:hAnsi="宋体" w:eastAsia="宋体" w:cs="宋体"/>
                <w:kern w:val="0"/>
                <w:sz w:val="20"/>
                <w:szCs w:val="20"/>
              </w:rPr>
              <w:t>℃</w:t>
            </w:r>
            <w:r>
              <w:rPr>
                <w:rFonts w:ascii="宋体" w:hAnsi="宋体" w:eastAsia="宋体" w:cs="宋体"/>
                <w:kern w:val="0"/>
                <w:sz w:val="20"/>
                <w:szCs w:val="20"/>
              </w:rPr>
              <w:t>-45</w:t>
            </w:r>
            <w:r>
              <w:rPr>
                <w:rFonts w:hint="eastAsia" w:ascii="宋体" w:hAnsi="宋体" w:eastAsia="宋体" w:cs="宋体"/>
                <w:kern w:val="0"/>
                <w:sz w:val="20"/>
                <w:szCs w:val="20"/>
              </w:rPr>
              <w:t>℃；</w:t>
            </w:r>
          </w:p>
          <w:p>
            <w:pPr>
              <w:widowControl/>
              <w:jc w:val="left"/>
              <w:rPr>
                <w:rFonts w:ascii="宋体" w:hAnsi="宋体" w:eastAsia="宋体" w:cs="宋体"/>
                <w:kern w:val="0"/>
                <w:sz w:val="20"/>
                <w:szCs w:val="20"/>
              </w:rPr>
            </w:pPr>
            <w:r>
              <w:rPr>
                <w:rFonts w:ascii="宋体" w:hAnsi="宋体" w:eastAsia="宋体" w:cs="宋体"/>
                <w:kern w:val="0"/>
                <w:sz w:val="20"/>
                <w:szCs w:val="20"/>
              </w:rPr>
              <w:t>4</w:t>
            </w:r>
            <w:r>
              <w:rPr>
                <w:rFonts w:hint="eastAsia" w:ascii="宋体" w:hAnsi="宋体" w:eastAsia="宋体" w:cs="宋体"/>
                <w:kern w:val="0"/>
                <w:sz w:val="20"/>
                <w:szCs w:val="20"/>
              </w:rPr>
              <w:t>、支持对人员手腕温度进行非接触式检测，对体温异常人员进行预警；</w:t>
            </w:r>
          </w:p>
          <w:p>
            <w:pPr>
              <w:widowControl/>
              <w:jc w:val="left"/>
              <w:rPr>
                <w:rFonts w:ascii="宋体" w:hAnsi="宋体" w:eastAsia="宋体" w:cs="宋体"/>
                <w:kern w:val="0"/>
                <w:sz w:val="20"/>
                <w:szCs w:val="20"/>
              </w:rPr>
            </w:pPr>
            <w:r>
              <w:rPr>
                <w:rFonts w:hint="eastAsia" w:ascii="宋体" w:hAnsi="宋体" w:eastAsia="宋体" w:cs="宋体"/>
                <w:kern w:val="0"/>
                <w:sz w:val="20"/>
                <w:szCs w:val="20"/>
              </w:rPr>
              <w:t>5、显示屏：触摸屏；尺寸≥7英寸；分辨率≥600×1024；</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6、测温误差：≤</w:t>
            </w:r>
            <w:r>
              <w:rPr>
                <w:rFonts w:ascii="宋体" w:hAnsi="宋体" w:eastAsia="宋体" w:cs="宋体"/>
                <w:kern w:val="0"/>
                <w:sz w:val="20"/>
                <w:szCs w:val="20"/>
              </w:rPr>
              <w:t>0.3℃</w:t>
            </w:r>
            <w:r>
              <w:rPr>
                <w:rFonts w:hint="eastAsia" w:ascii="宋体" w:hAnsi="宋体" w:eastAsia="宋体" w:cs="宋体"/>
                <w:kern w:val="0"/>
                <w:sz w:val="20"/>
                <w:szCs w:val="20"/>
              </w:rPr>
              <w:t>。</w:t>
            </w:r>
          </w:p>
        </w:tc>
        <w:tc>
          <w:tcPr>
            <w:tcW w:w="713" w:type="dxa"/>
            <w:tcBorders>
              <w:top w:val="nil"/>
              <w:left w:val="nil"/>
              <w:bottom w:val="single" w:color="auto" w:sz="8" w:space="0"/>
              <w:right w:val="single" w:color="auto" w:sz="4"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1</w:t>
            </w:r>
          </w:p>
        </w:tc>
        <w:tc>
          <w:tcPr>
            <w:tcW w:w="779"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eastAsia="宋体" w:cs="宋体"/>
                <w:kern w:val="0"/>
                <w:sz w:val="20"/>
                <w:szCs w:val="20"/>
              </w:rPr>
            </w:pPr>
            <w:r>
              <w:rPr>
                <w:rFonts w:hint="eastAsia" w:ascii="宋体" w:hAnsi="宋体" w:eastAsia="宋体" w:cs="宋体"/>
                <w:kern w:val="0"/>
                <w:sz w:val="20"/>
                <w:szCs w:val="20"/>
              </w:rPr>
              <w:t>台</w:t>
            </w:r>
          </w:p>
        </w:tc>
      </w:tr>
    </w:tbl>
    <w:p>
      <w:pPr>
        <w:jc w:val="cente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003" w:usb1="288F0000" w:usb2="00000006" w:usb3="00000000" w:csb0="00040001"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CD5"/>
    <w:rsid w:val="00590CD5"/>
    <w:rsid w:val="0078715F"/>
    <w:rsid w:val="00BF4D3B"/>
    <w:rsid w:val="00E61A8B"/>
    <w:rsid w:val="5EC83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5"/>
    <w:unhideWhenUsed/>
    <w:uiPriority w:val="99"/>
    <w:pPr>
      <w:tabs>
        <w:tab w:val="center" w:pos="4153"/>
        <w:tab w:val="right" w:pos="8306"/>
      </w:tabs>
      <w:snapToGrid w:val="0"/>
      <w:jc w:val="left"/>
    </w:pPr>
    <w:rPr>
      <w:sz w:val="18"/>
      <w:szCs w:val="18"/>
    </w:rPr>
  </w:style>
  <w:style w:type="paragraph" w:styleId="3">
    <w:name w:val="header"/>
    <w:basedOn w:val="1"/>
    <w:link w:val="74"/>
    <w:unhideWhenUsed/>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uiPriority w:val="99"/>
    <w:rPr>
      <w:color w:val="800080"/>
      <w:u w:val="single"/>
    </w:rPr>
  </w:style>
  <w:style w:type="character" w:styleId="7">
    <w:name w:val="Hyperlink"/>
    <w:basedOn w:val="5"/>
    <w:semiHidden/>
    <w:unhideWhenUsed/>
    <w:uiPriority w:val="99"/>
    <w:rPr>
      <w:color w:val="0000FF"/>
      <w:u w:val="single"/>
    </w:rPr>
  </w:style>
  <w:style w:type="paragraph" w:customStyle="1" w:styleId="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font5"/>
    <w:basedOn w:val="1"/>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10">
    <w:name w:val="font6"/>
    <w:basedOn w:val="1"/>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1">
    <w:name w:val="font7"/>
    <w:basedOn w:val="1"/>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2">
    <w:name w:val="font8"/>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13">
    <w:name w:val="font9"/>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14">
    <w:name w:val="font10"/>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15">
    <w:name w:val="font11"/>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16">
    <w:name w:val="font12"/>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17">
    <w:name w:val="font13"/>
    <w:basedOn w:val="1"/>
    <w:uiPriority w:val="0"/>
    <w:pPr>
      <w:widowControl/>
      <w:spacing w:before="100" w:beforeAutospacing="1" w:after="100" w:afterAutospacing="1"/>
      <w:jc w:val="left"/>
    </w:pPr>
    <w:rPr>
      <w:rFonts w:ascii="宋体" w:hAnsi="宋体" w:eastAsia="宋体" w:cs="宋体"/>
      <w:color w:val="FF0000"/>
      <w:kern w:val="0"/>
      <w:sz w:val="20"/>
      <w:szCs w:val="20"/>
    </w:rPr>
  </w:style>
  <w:style w:type="paragraph" w:customStyle="1" w:styleId="18">
    <w:name w:val="font14"/>
    <w:basedOn w:val="1"/>
    <w:uiPriority w:val="0"/>
    <w:pPr>
      <w:widowControl/>
      <w:spacing w:before="100" w:beforeAutospacing="1" w:after="100" w:afterAutospacing="1"/>
      <w:jc w:val="left"/>
    </w:pPr>
    <w:rPr>
      <w:rFonts w:ascii="宋体" w:hAnsi="宋体" w:eastAsia="宋体" w:cs="宋体"/>
      <w:color w:val="FF0000"/>
      <w:kern w:val="0"/>
      <w:sz w:val="20"/>
      <w:szCs w:val="20"/>
    </w:rPr>
  </w:style>
  <w:style w:type="paragraph" w:customStyle="1" w:styleId="19">
    <w:name w:val="xl164"/>
    <w:basedOn w:val="1"/>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hAnsi="宋体" w:eastAsia="宋体" w:cs="宋体"/>
      <w:b/>
      <w:bCs/>
      <w:color w:val="000000"/>
      <w:kern w:val="0"/>
      <w:sz w:val="20"/>
      <w:szCs w:val="20"/>
    </w:rPr>
  </w:style>
  <w:style w:type="paragraph" w:customStyle="1" w:styleId="20">
    <w:name w:val="xl165"/>
    <w:basedOn w:val="1"/>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color w:val="000000"/>
      <w:kern w:val="0"/>
      <w:sz w:val="20"/>
      <w:szCs w:val="20"/>
    </w:rPr>
  </w:style>
  <w:style w:type="paragraph" w:customStyle="1" w:styleId="21">
    <w:name w:val="xl166"/>
    <w:basedOn w:val="1"/>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eastAsia="宋体" w:cs="宋体"/>
      <w:b/>
      <w:bCs/>
      <w:color w:val="000000"/>
      <w:kern w:val="0"/>
      <w:sz w:val="20"/>
      <w:szCs w:val="20"/>
    </w:rPr>
  </w:style>
  <w:style w:type="paragraph" w:customStyle="1" w:styleId="22">
    <w:name w:val="xl167"/>
    <w:basedOn w:val="1"/>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4"/>
      <w:szCs w:val="24"/>
    </w:rPr>
  </w:style>
  <w:style w:type="paragraph" w:customStyle="1" w:styleId="23">
    <w:name w:val="xl16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4"/>
      <w:szCs w:val="24"/>
    </w:rPr>
  </w:style>
  <w:style w:type="paragraph" w:customStyle="1" w:styleId="24">
    <w:name w:val="xl169"/>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eastAsia="宋体" w:cs="宋体"/>
      <w:b/>
      <w:bCs/>
      <w:kern w:val="0"/>
      <w:sz w:val="24"/>
      <w:szCs w:val="24"/>
    </w:rPr>
  </w:style>
  <w:style w:type="paragraph" w:customStyle="1" w:styleId="25">
    <w:name w:val="xl170"/>
    <w:basedOn w:val="1"/>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26">
    <w:name w:val="xl17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27">
    <w:name w:val="xl17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8">
    <w:name w:val="xl17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29">
    <w:name w:val="xl174"/>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宋体" w:hAnsi="宋体" w:eastAsia="宋体" w:cs="宋体"/>
      <w:kern w:val="0"/>
      <w:sz w:val="20"/>
      <w:szCs w:val="20"/>
    </w:rPr>
  </w:style>
  <w:style w:type="paragraph" w:customStyle="1" w:styleId="30">
    <w:name w:val="xl17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1">
    <w:name w:val="xl17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2">
    <w:name w:val="xl17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33">
    <w:name w:val="xl17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4">
    <w:name w:val="xl17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5">
    <w:name w:val="xl18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6">
    <w:name w:val="xl18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7">
    <w:name w:val="xl18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38">
    <w:name w:val="xl18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39">
    <w:name w:val="xl18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40">
    <w:name w:val="xl18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000000"/>
      <w:kern w:val="0"/>
      <w:sz w:val="20"/>
      <w:szCs w:val="20"/>
    </w:rPr>
  </w:style>
  <w:style w:type="paragraph" w:customStyle="1" w:styleId="41">
    <w:name w:val="xl18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42">
    <w:name w:val="xl18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43">
    <w:name w:val="xl18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44">
    <w:name w:val="xl18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45">
    <w:name w:val="xl19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46">
    <w:name w:val="xl191"/>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eastAsia="宋体" w:cs="宋体"/>
      <w:kern w:val="0"/>
      <w:sz w:val="20"/>
      <w:szCs w:val="20"/>
    </w:rPr>
  </w:style>
  <w:style w:type="paragraph" w:customStyle="1" w:styleId="47">
    <w:name w:val="xl192"/>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新宋体" w:hAnsi="新宋体" w:eastAsia="新宋体" w:cs="宋体"/>
      <w:color w:val="000000"/>
      <w:kern w:val="0"/>
      <w:sz w:val="20"/>
      <w:szCs w:val="20"/>
    </w:rPr>
  </w:style>
  <w:style w:type="paragraph" w:customStyle="1" w:styleId="48">
    <w:name w:val="xl19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49">
    <w:name w:val="xl194"/>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新宋体" w:hAnsi="新宋体" w:eastAsia="新宋体" w:cs="宋体"/>
      <w:color w:val="000000"/>
      <w:kern w:val="0"/>
      <w:sz w:val="20"/>
      <w:szCs w:val="20"/>
    </w:rPr>
  </w:style>
  <w:style w:type="paragraph" w:customStyle="1" w:styleId="50">
    <w:name w:val="xl195"/>
    <w:basedOn w:val="1"/>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51">
    <w:name w:val="xl19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52">
    <w:name w:val="xl197"/>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eastAsia="宋体" w:cs="宋体"/>
      <w:b/>
      <w:bCs/>
      <w:kern w:val="0"/>
      <w:sz w:val="20"/>
      <w:szCs w:val="20"/>
    </w:rPr>
  </w:style>
  <w:style w:type="paragraph" w:customStyle="1" w:styleId="53">
    <w:name w:val="xl19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54">
    <w:name w:val="xl199"/>
    <w:basedOn w:val="1"/>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55">
    <w:name w:val="xl20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56">
    <w:name w:val="xl201"/>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eastAsia="宋体" w:cs="宋体"/>
      <w:b/>
      <w:bCs/>
      <w:kern w:val="0"/>
      <w:sz w:val="20"/>
      <w:szCs w:val="20"/>
    </w:rPr>
  </w:style>
  <w:style w:type="paragraph" w:customStyle="1" w:styleId="57">
    <w:name w:val="xl202"/>
    <w:basedOn w:val="1"/>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58">
    <w:name w:val="xl203"/>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eastAsia="宋体" w:cs="宋体"/>
      <w:kern w:val="0"/>
      <w:sz w:val="20"/>
      <w:szCs w:val="20"/>
    </w:rPr>
  </w:style>
  <w:style w:type="paragraph" w:customStyle="1" w:styleId="59">
    <w:name w:val="xl204"/>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宋体" w:hAnsi="宋体" w:eastAsia="宋体" w:cs="宋体"/>
      <w:kern w:val="0"/>
      <w:sz w:val="20"/>
      <w:szCs w:val="20"/>
    </w:rPr>
  </w:style>
  <w:style w:type="paragraph" w:customStyle="1" w:styleId="60">
    <w:name w:val="xl20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61">
    <w:name w:val="xl20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eastAsia="宋体" w:cs="宋体"/>
      <w:kern w:val="0"/>
      <w:sz w:val="20"/>
      <w:szCs w:val="20"/>
    </w:rPr>
  </w:style>
  <w:style w:type="paragraph" w:customStyle="1" w:styleId="62">
    <w:name w:val="xl20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eastAsia="宋体" w:cs="宋体"/>
      <w:kern w:val="0"/>
      <w:sz w:val="20"/>
      <w:szCs w:val="20"/>
    </w:rPr>
  </w:style>
  <w:style w:type="paragraph" w:customStyle="1" w:styleId="63">
    <w:name w:val="xl20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64">
    <w:name w:val="xl20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eastAsia="宋体" w:cs="宋体"/>
      <w:kern w:val="0"/>
      <w:sz w:val="20"/>
      <w:szCs w:val="20"/>
    </w:rPr>
  </w:style>
  <w:style w:type="paragraph" w:customStyle="1" w:styleId="65">
    <w:name w:val="xl21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66">
    <w:name w:val="xl21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67">
    <w:name w:val="xl21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68">
    <w:name w:val="xl213"/>
    <w:basedOn w:val="1"/>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69">
    <w:name w:val="xl214"/>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宋体" w:hAnsi="宋体" w:eastAsia="宋体" w:cs="宋体"/>
      <w:kern w:val="0"/>
      <w:sz w:val="20"/>
      <w:szCs w:val="20"/>
    </w:rPr>
  </w:style>
  <w:style w:type="paragraph" w:customStyle="1" w:styleId="70">
    <w:name w:val="xl21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71">
    <w:name w:val="xl216"/>
    <w:basedOn w:val="1"/>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72">
    <w:name w:val="xl217"/>
    <w:basedOn w:val="1"/>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73">
    <w:name w:val="xl218"/>
    <w:basedOn w:val="1"/>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pPr>
    <w:rPr>
      <w:rFonts w:ascii="宋体" w:hAnsi="宋体" w:eastAsia="宋体" w:cs="宋体"/>
      <w:kern w:val="0"/>
      <w:sz w:val="20"/>
      <w:szCs w:val="20"/>
    </w:rPr>
  </w:style>
  <w:style w:type="character" w:customStyle="1" w:styleId="74">
    <w:name w:val="页眉 字符"/>
    <w:basedOn w:val="5"/>
    <w:link w:val="3"/>
    <w:uiPriority w:val="99"/>
    <w:rPr>
      <w:sz w:val="18"/>
      <w:szCs w:val="18"/>
    </w:rPr>
  </w:style>
  <w:style w:type="character" w:customStyle="1" w:styleId="75">
    <w:name w:val="页脚 字符"/>
    <w:basedOn w:val="5"/>
    <w:link w:val="2"/>
    <w:uiPriority w:val="99"/>
    <w:rPr>
      <w:sz w:val="18"/>
      <w:szCs w:val="18"/>
    </w:rPr>
  </w:style>
  <w:style w:type="paragraph" w:styleId="7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5632</Words>
  <Characters>32109</Characters>
  <Lines>267</Lines>
  <Paragraphs>75</Paragraphs>
  <TotalTime>0</TotalTime>
  <ScaleCrop>false</ScaleCrop>
  <LinksUpToDate>false</LinksUpToDate>
  <CharactersWithSpaces>37666</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2020-05-26T14:11:00Z</dcterms:created>
  <dc:creator>Administrator</dc:creator>
  <cp:lastModifiedBy>陈翚</cp:lastModifiedBy>
  <dcterms:modified xsi:type="dcterms:W3CDTF">2020-06-02T03:08:41Z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