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6A301">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both"/>
        <w:textAlignment w:val="auto"/>
        <w:rPr>
          <w:rFonts w:hint="default" w:ascii="Times New Roman" w:hAnsi="Times New Roman" w:eastAsia="仿宋_GB2312" w:cs="Times New Roman"/>
          <w:b w:val="0"/>
          <w:bCs w:val="0"/>
          <w:sz w:val="32"/>
          <w:lang w:val="en-US" w:eastAsia="zh-CN"/>
        </w:rPr>
      </w:pPr>
      <w:r>
        <w:rPr>
          <w:rFonts w:hint="eastAsia" w:ascii="黑体" w:hAnsi="黑体" w:eastAsia="黑体" w:cs="黑体"/>
          <w:b w:val="0"/>
          <w:bCs w:val="0"/>
          <w:sz w:val="36"/>
          <w:szCs w:val="36"/>
          <w:lang w:val="en-US" w:eastAsia="zh-CN"/>
        </w:rPr>
        <w:t>附件1</w:t>
      </w:r>
    </w:p>
    <w:p w14:paraId="2E5F264B">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center"/>
        <w:textAlignment w:val="auto"/>
        <w:rPr>
          <w:rFonts w:hint="eastAsia" w:ascii="方正小标宋简体" w:hAnsi="方正小标宋简体" w:eastAsia="方正小标宋简体" w:cs="方正小标宋简体"/>
          <w:b w:val="0"/>
          <w:bCs w:val="0"/>
          <w:sz w:val="44"/>
          <w:szCs w:val="44"/>
          <w:lang w:eastAsia="zh-CN"/>
        </w:rPr>
      </w:pPr>
    </w:p>
    <w:p w14:paraId="76DE00CF">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center"/>
        <w:textAlignment w:val="auto"/>
        <w:rPr>
          <w:rFonts w:hint="eastAsia" w:ascii="方正小标宋简体" w:hAnsi="方正小标宋简体" w:eastAsia="方正小标宋简体" w:cs="方正小标宋简体"/>
          <w:b w:val="0"/>
          <w:bCs w:val="0"/>
          <w:sz w:val="44"/>
          <w:szCs w:val="44"/>
          <w:lang w:eastAsia="zh-CN"/>
        </w:rPr>
      </w:pPr>
      <w:r>
        <w:rPr>
          <w:rFonts w:hint="eastAsia" w:ascii="方正小标宋简体" w:hAnsi="方正小标宋简体" w:eastAsia="方正小标宋简体" w:cs="方正小标宋简体"/>
          <w:b w:val="0"/>
          <w:bCs w:val="0"/>
          <w:sz w:val="44"/>
          <w:szCs w:val="44"/>
          <w:lang w:val="en-US" w:eastAsia="zh-CN"/>
        </w:rPr>
        <w:t>平潭综合实验区</w:t>
      </w:r>
      <w:r>
        <w:rPr>
          <w:rFonts w:hint="eastAsia" w:ascii="方正小标宋简体" w:hAnsi="方正小标宋简体" w:eastAsia="方正小标宋简体" w:cs="方正小标宋简体"/>
          <w:b w:val="0"/>
          <w:bCs w:val="0"/>
          <w:sz w:val="44"/>
          <w:szCs w:val="44"/>
          <w:lang w:eastAsia="zh-CN"/>
        </w:rPr>
        <w:t>市场监管系统</w:t>
      </w:r>
      <w:r>
        <w:rPr>
          <w:rFonts w:hint="eastAsia" w:ascii="方正小标宋简体" w:hAnsi="方正小标宋简体" w:eastAsia="方正小标宋简体" w:cs="方正小标宋简体"/>
          <w:b w:val="0"/>
          <w:bCs w:val="0"/>
          <w:sz w:val="44"/>
          <w:szCs w:val="44"/>
        </w:rPr>
        <w:t>协同检查事项清单表</w:t>
      </w:r>
      <w:r>
        <w:rPr>
          <w:rFonts w:hint="eastAsia" w:ascii="方正小标宋简体" w:hAnsi="方正小标宋简体" w:eastAsia="方正小标宋简体" w:cs="方正小标宋简体"/>
          <w:b w:val="0"/>
          <w:bCs w:val="0"/>
          <w:sz w:val="44"/>
          <w:szCs w:val="44"/>
          <w:lang w:eastAsia="zh-CN"/>
        </w:rPr>
        <w:t>（第一版，</w:t>
      </w:r>
      <w:r>
        <w:rPr>
          <w:rFonts w:hint="eastAsia" w:ascii="方正小标宋简体" w:hAnsi="方正小标宋简体" w:eastAsia="方正小标宋简体" w:cs="方正小标宋简体"/>
          <w:b w:val="0"/>
          <w:bCs w:val="0"/>
          <w:sz w:val="44"/>
          <w:szCs w:val="44"/>
          <w:lang w:val="en-US" w:eastAsia="zh-CN"/>
        </w:rPr>
        <w:t>2025年</w:t>
      </w:r>
      <w:r>
        <w:rPr>
          <w:rFonts w:hint="eastAsia" w:ascii="方正小标宋简体" w:hAnsi="方正小标宋简体" w:eastAsia="方正小标宋简体" w:cs="方正小标宋简体"/>
          <w:b w:val="0"/>
          <w:bCs w:val="0"/>
          <w:sz w:val="44"/>
          <w:szCs w:val="44"/>
          <w:lang w:eastAsia="zh-CN"/>
        </w:rPr>
        <w:t>）</w:t>
      </w:r>
    </w:p>
    <w:p w14:paraId="309E32C5">
      <w:pPr>
        <w:keepNext w:val="0"/>
        <w:keepLines w:val="0"/>
        <w:pageBreakBefore w:val="0"/>
        <w:widowControl w:val="0"/>
        <w:kinsoku/>
        <w:wordWrap/>
        <w:overflowPunct/>
        <w:topLinePunct w:val="0"/>
        <w:autoSpaceDE/>
        <w:autoSpaceDN/>
        <w:bidi w:val="0"/>
        <w:adjustRightInd w:val="0"/>
        <w:snapToGrid w:val="0"/>
        <w:spacing w:line="600" w:lineRule="exact"/>
        <w:ind w:left="0" w:firstLine="0" w:firstLineChars="0"/>
        <w:jc w:val="center"/>
        <w:textAlignment w:val="auto"/>
        <w:rPr>
          <w:rFonts w:hint="eastAsia" w:ascii="方正小标宋简体" w:hAnsi="方正小标宋简体" w:eastAsia="方正小标宋简体" w:cs="方正小标宋简体"/>
          <w:b w:val="0"/>
          <w:bCs w:val="0"/>
          <w:sz w:val="44"/>
          <w:szCs w:val="44"/>
          <w:lang w:eastAsia="zh-CN"/>
        </w:rPr>
      </w:pPr>
    </w:p>
    <w:tbl>
      <w:tblPr>
        <w:tblStyle w:val="6"/>
        <w:tblW w:w="214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1361"/>
        <w:gridCol w:w="804"/>
        <w:gridCol w:w="1191"/>
        <w:gridCol w:w="3536"/>
        <w:gridCol w:w="2603"/>
        <w:gridCol w:w="526"/>
        <w:gridCol w:w="994"/>
        <w:gridCol w:w="586"/>
        <w:gridCol w:w="1234"/>
        <w:gridCol w:w="1283"/>
        <w:gridCol w:w="1408"/>
        <w:gridCol w:w="464"/>
        <w:gridCol w:w="881"/>
        <w:gridCol w:w="1500"/>
        <w:gridCol w:w="2496"/>
      </w:tblGrid>
      <w:tr w14:paraId="59A4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548" w:type="dxa"/>
            <w:vMerge w:val="restart"/>
            <w:noWrap w:val="0"/>
            <w:vAlign w:val="center"/>
          </w:tcPr>
          <w:p w14:paraId="1CEB713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序号</w:t>
            </w:r>
          </w:p>
        </w:tc>
        <w:tc>
          <w:tcPr>
            <w:tcW w:w="1361" w:type="dxa"/>
            <w:vMerge w:val="restart"/>
            <w:noWrap w:val="0"/>
            <w:vAlign w:val="center"/>
          </w:tcPr>
          <w:p w14:paraId="0EE1874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检查事项</w:t>
            </w:r>
          </w:p>
        </w:tc>
        <w:tc>
          <w:tcPr>
            <w:tcW w:w="804" w:type="dxa"/>
            <w:vMerge w:val="restart"/>
            <w:noWrap w:val="0"/>
            <w:vAlign w:val="center"/>
          </w:tcPr>
          <w:p w14:paraId="5D909AC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检查类型</w:t>
            </w:r>
          </w:p>
        </w:tc>
        <w:tc>
          <w:tcPr>
            <w:tcW w:w="1191" w:type="dxa"/>
            <w:vMerge w:val="restart"/>
            <w:noWrap w:val="0"/>
            <w:vAlign w:val="center"/>
          </w:tcPr>
          <w:p w14:paraId="1546BC1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检查对象</w:t>
            </w:r>
          </w:p>
          <w:p w14:paraId="23D461F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4"/>
                <w:szCs w:val="24"/>
              </w:rPr>
              <w:t>（行业企业、产品、项目等）</w:t>
            </w:r>
          </w:p>
        </w:tc>
        <w:tc>
          <w:tcPr>
            <w:tcW w:w="3536" w:type="dxa"/>
            <w:vMerge w:val="restart"/>
            <w:noWrap w:val="0"/>
            <w:vAlign w:val="center"/>
          </w:tcPr>
          <w:p w14:paraId="725FFD6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具体内容</w:t>
            </w:r>
          </w:p>
        </w:tc>
        <w:tc>
          <w:tcPr>
            <w:tcW w:w="2603" w:type="dxa"/>
            <w:vMerge w:val="restart"/>
            <w:noWrap w:val="0"/>
            <w:vAlign w:val="center"/>
          </w:tcPr>
          <w:p w14:paraId="7527D97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lang w:val="en-US" w:eastAsia="zh-CN"/>
              </w:rPr>
            </w:pPr>
            <w:r>
              <w:rPr>
                <w:rFonts w:hint="eastAsia" w:ascii="黑体" w:hAnsi="黑体" w:eastAsia="黑体" w:cs="黑体"/>
                <w:b w:val="0"/>
                <w:bCs w:val="0"/>
                <w:snapToGrid w:val="0"/>
                <w:color w:val="auto"/>
                <w:kern w:val="0"/>
                <w:sz w:val="28"/>
                <w:szCs w:val="28"/>
                <w:lang w:val="en-US" w:eastAsia="zh-CN"/>
              </w:rPr>
              <w:t>每年完成</w:t>
            </w:r>
          </w:p>
          <w:p w14:paraId="2438D23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抽查比例</w:t>
            </w:r>
          </w:p>
        </w:tc>
        <w:tc>
          <w:tcPr>
            <w:tcW w:w="526" w:type="dxa"/>
            <w:vMerge w:val="restart"/>
            <w:noWrap w:val="0"/>
            <w:vAlign w:val="center"/>
          </w:tcPr>
          <w:p w14:paraId="3FC6EFC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检查方式</w:t>
            </w:r>
          </w:p>
        </w:tc>
        <w:tc>
          <w:tcPr>
            <w:tcW w:w="994" w:type="dxa"/>
            <w:vMerge w:val="restart"/>
            <w:noWrap w:val="0"/>
            <w:vAlign w:val="center"/>
          </w:tcPr>
          <w:p w14:paraId="2E3F990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检查范围/区域</w:t>
            </w:r>
          </w:p>
        </w:tc>
        <w:tc>
          <w:tcPr>
            <w:tcW w:w="586" w:type="dxa"/>
            <w:vMerge w:val="restart"/>
            <w:noWrap w:val="0"/>
            <w:vAlign w:val="center"/>
          </w:tcPr>
          <w:p w14:paraId="2A74EF8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lang w:val="en-US" w:eastAsia="zh-CN"/>
              </w:rPr>
              <w:t>是否</w:t>
            </w:r>
            <w:r>
              <w:rPr>
                <w:rFonts w:hint="eastAsia" w:ascii="黑体" w:hAnsi="黑体" w:eastAsia="黑体" w:cs="黑体"/>
                <w:b w:val="0"/>
                <w:bCs w:val="0"/>
                <w:snapToGrid w:val="0"/>
                <w:color w:val="auto"/>
                <w:kern w:val="0"/>
                <w:sz w:val="28"/>
                <w:szCs w:val="28"/>
              </w:rPr>
              <w:t>分期实施</w:t>
            </w:r>
          </w:p>
        </w:tc>
        <w:tc>
          <w:tcPr>
            <w:tcW w:w="1234" w:type="dxa"/>
            <w:vMerge w:val="restart"/>
            <w:noWrap w:val="0"/>
            <w:vAlign w:val="center"/>
          </w:tcPr>
          <w:p w14:paraId="68CA3E5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检查时间</w:t>
            </w:r>
          </w:p>
        </w:tc>
        <w:tc>
          <w:tcPr>
            <w:tcW w:w="2691" w:type="dxa"/>
            <w:gridSpan w:val="2"/>
            <w:noWrap w:val="0"/>
            <w:vAlign w:val="center"/>
          </w:tcPr>
          <w:p w14:paraId="00E8DDC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lang w:eastAsia="zh-CN"/>
              </w:rPr>
            </w:pPr>
            <w:r>
              <w:rPr>
                <w:rFonts w:hint="eastAsia" w:ascii="黑体" w:hAnsi="黑体" w:eastAsia="黑体" w:cs="黑体"/>
                <w:b w:val="0"/>
                <w:bCs w:val="0"/>
                <w:snapToGrid w:val="0"/>
                <w:color w:val="auto"/>
                <w:kern w:val="0"/>
                <w:sz w:val="28"/>
                <w:szCs w:val="28"/>
                <w:lang w:eastAsia="zh-CN"/>
              </w:rPr>
              <w:t>协同检查</w:t>
            </w:r>
          </w:p>
          <w:p w14:paraId="134F3E8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lang w:eastAsia="zh-CN"/>
              </w:rPr>
            </w:pPr>
            <w:r>
              <w:rPr>
                <w:rFonts w:hint="eastAsia" w:ascii="黑体" w:hAnsi="黑体" w:eastAsia="黑体" w:cs="黑体"/>
                <w:b w:val="0"/>
                <w:bCs w:val="0"/>
                <w:snapToGrid w:val="0"/>
                <w:color w:val="auto"/>
                <w:kern w:val="0"/>
                <w:sz w:val="28"/>
                <w:szCs w:val="28"/>
                <w:lang w:eastAsia="zh-CN"/>
              </w:rPr>
              <w:t>频次比例</w:t>
            </w:r>
          </w:p>
        </w:tc>
        <w:tc>
          <w:tcPr>
            <w:tcW w:w="464" w:type="dxa"/>
            <w:vMerge w:val="restart"/>
            <w:noWrap w:val="0"/>
            <w:vAlign w:val="center"/>
          </w:tcPr>
          <w:p w14:paraId="720C5E9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牵头部门</w:t>
            </w:r>
          </w:p>
        </w:tc>
        <w:tc>
          <w:tcPr>
            <w:tcW w:w="881" w:type="dxa"/>
            <w:vMerge w:val="restart"/>
            <w:noWrap w:val="0"/>
            <w:vAlign w:val="center"/>
          </w:tcPr>
          <w:p w14:paraId="7C41414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参与部门</w:t>
            </w:r>
          </w:p>
        </w:tc>
        <w:tc>
          <w:tcPr>
            <w:tcW w:w="1500" w:type="dxa"/>
            <w:vMerge w:val="restart"/>
            <w:noWrap w:val="0"/>
            <w:vAlign w:val="center"/>
          </w:tcPr>
          <w:p w14:paraId="6551968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实施检查部门/单位</w:t>
            </w:r>
          </w:p>
        </w:tc>
        <w:tc>
          <w:tcPr>
            <w:tcW w:w="2496" w:type="dxa"/>
            <w:vMerge w:val="restart"/>
            <w:noWrap w:val="0"/>
            <w:vAlign w:val="center"/>
          </w:tcPr>
          <w:p w14:paraId="208D246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rPr>
            </w:pPr>
            <w:r>
              <w:rPr>
                <w:rFonts w:hint="eastAsia" w:ascii="黑体" w:hAnsi="黑体" w:eastAsia="黑体" w:cs="黑体"/>
                <w:b w:val="0"/>
                <w:bCs w:val="0"/>
                <w:snapToGrid w:val="0"/>
                <w:color w:val="auto"/>
                <w:kern w:val="0"/>
                <w:sz w:val="28"/>
                <w:szCs w:val="28"/>
              </w:rPr>
              <w:t>检查依据</w:t>
            </w:r>
          </w:p>
        </w:tc>
      </w:tr>
      <w:tr w14:paraId="09C3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548" w:type="dxa"/>
            <w:vMerge w:val="continue"/>
            <w:noWrap w:val="0"/>
            <w:vAlign w:val="center"/>
          </w:tcPr>
          <w:p w14:paraId="6816411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bCs/>
                <w:snapToGrid w:val="0"/>
                <w:color w:val="auto"/>
                <w:kern w:val="0"/>
                <w:sz w:val="28"/>
                <w:szCs w:val="28"/>
              </w:rPr>
            </w:pPr>
          </w:p>
        </w:tc>
        <w:tc>
          <w:tcPr>
            <w:tcW w:w="1361" w:type="dxa"/>
            <w:vMerge w:val="continue"/>
            <w:noWrap w:val="0"/>
            <w:vAlign w:val="center"/>
          </w:tcPr>
          <w:p w14:paraId="2C8241D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804" w:type="dxa"/>
            <w:vMerge w:val="continue"/>
            <w:noWrap w:val="0"/>
            <w:vAlign w:val="center"/>
          </w:tcPr>
          <w:p w14:paraId="3FC0557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bCs/>
                <w:snapToGrid w:val="0"/>
                <w:color w:val="auto"/>
                <w:kern w:val="0"/>
                <w:sz w:val="28"/>
                <w:szCs w:val="28"/>
              </w:rPr>
            </w:pPr>
          </w:p>
        </w:tc>
        <w:tc>
          <w:tcPr>
            <w:tcW w:w="1191" w:type="dxa"/>
            <w:vMerge w:val="continue"/>
            <w:noWrap w:val="0"/>
            <w:vAlign w:val="center"/>
          </w:tcPr>
          <w:p w14:paraId="381AF44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3536" w:type="dxa"/>
            <w:vMerge w:val="continue"/>
            <w:noWrap w:val="0"/>
            <w:vAlign w:val="center"/>
          </w:tcPr>
          <w:p w14:paraId="326C773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2603" w:type="dxa"/>
            <w:vMerge w:val="continue"/>
            <w:noWrap w:val="0"/>
            <w:vAlign w:val="center"/>
          </w:tcPr>
          <w:p w14:paraId="5EFD986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526" w:type="dxa"/>
            <w:vMerge w:val="continue"/>
            <w:noWrap w:val="0"/>
            <w:vAlign w:val="center"/>
          </w:tcPr>
          <w:p w14:paraId="6D6552C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994" w:type="dxa"/>
            <w:vMerge w:val="continue"/>
            <w:noWrap w:val="0"/>
            <w:vAlign w:val="center"/>
          </w:tcPr>
          <w:p w14:paraId="311DDBB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586" w:type="dxa"/>
            <w:vMerge w:val="continue"/>
            <w:noWrap w:val="0"/>
            <w:vAlign w:val="center"/>
          </w:tcPr>
          <w:p w14:paraId="715A32A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1234" w:type="dxa"/>
            <w:vMerge w:val="continue"/>
            <w:noWrap w:val="0"/>
            <w:vAlign w:val="center"/>
          </w:tcPr>
          <w:p w14:paraId="7B02865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1283" w:type="dxa"/>
            <w:noWrap w:val="0"/>
            <w:vAlign w:val="center"/>
          </w:tcPr>
          <w:p w14:paraId="640CAB0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lang w:eastAsia="zh-CN"/>
              </w:rPr>
            </w:pPr>
            <w:r>
              <w:rPr>
                <w:rFonts w:hint="eastAsia" w:ascii="黑体" w:hAnsi="黑体" w:eastAsia="黑体" w:cs="黑体"/>
                <w:b w:val="0"/>
                <w:bCs w:val="0"/>
                <w:snapToGrid w:val="0"/>
                <w:color w:val="auto"/>
                <w:kern w:val="0"/>
                <w:sz w:val="28"/>
                <w:szCs w:val="28"/>
                <w:lang w:eastAsia="zh-CN"/>
              </w:rPr>
              <w:t>频次</w:t>
            </w:r>
          </w:p>
        </w:tc>
        <w:tc>
          <w:tcPr>
            <w:tcW w:w="1408" w:type="dxa"/>
            <w:noWrap w:val="0"/>
            <w:vAlign w:val="center"/>
          </w:tcPr>
          <w:p w14:paraId="7645A5D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黑体" w:hAnsi="黑体" w:eastAsia="黑体" w:cs="黑体"/>
                <w:b w:val="0"/>
                <w:bCs w:val="0"/>
                <w:snapToGrid w:val="0"/>
                <w:color w:val="auto"/>
                <w:kern w:val="0"/>
                <w:sz w:val="28"/>
                <w:szCs w:val="28"/>
                <w:lang w:eastAsia="zh-CN"/>
              </w:rPr>
            </w:pPr>
            <w:r>
              <w:rPr>
                <w:rFonts w:hint="eastAsia" w:ascii="黑体" w:hAnsi="黑体" w:eastAsia="黑体" w:cs="黑体"/>
                <w:b w:val="0"/>
                <w:bCs w:val="0"/>
                <w:snapToGrid w:val="0"/>
                <w:color w:val="auto"/>
                <w:kern w:val="0"/>
                <w:sz w:val="28"/>
                <w:szCs w:val="28"/>
                <w:lang w:eastAsia="zh-CN"/>
              </w:rPr>
              <w:t>每次抽取比例</w:t>
            </w:r>
          </w:p>
        </w:tc>
        <w:tc>
          <w:tcPr>
            <w:tcW w:w="464" w:type="dxa"/>
            <w:vMerge w:val="continue"/>
            <w:noWrap w:val="0"/>
            <w:vAlign w:val="center"/>
          </w:tcPr>
          <w:p w14:paraId="0338096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881" w:type="dxa"/>
            <w:vMerge w:val="continue"/>
            <w:noWrap w:val="0"/>
            <w:vAlign w:val="center"/>
          </w:tcPr>
          <w:p w14:paraId="2542D79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1500" w:type="dxa"/>
            <w:vMerge w:val="continue"/>
            <w:noWrap w:val="0"/>
            <w:vAlign w:val="center"/>
          </w:tcPr>
          <w:p w14:paraId="7788EDF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c>
          <w:tcPr>
            <w:tcW w:w="2496" w:type="dxa"/>
            <w:vMerge w:val="continue"/>
            <w:noWrap w:val="0"/>
            <w:vAlign w:val="top"/>
          </w:tcPr>
          <w:p w14:paraId="5564C1C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p>
        </w:tc>
      </w:tr>
      <w:tr w14:paraId="4383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9" w:hRule="atLeast"/>
          <w:jc w:val="center"/>
        </w:trPr>
        <w:tc>
          <w:tcPr>
            <w:tcW w:w="548" w:type="dxa"/>
            <w:noWrap w:val="0"/>
            <w:vAlign w:val="center"/>
          </w:tcPr>
          <w:p w14:paraId="3584A9F6">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1</w:t>
            </w:r>
          </w:p>
        </w:tc>
        <w:tc>
          <w:tcPr>
            <w:tcW w:w="1361" w:type="dxa"/>
            <w:noWrap w:val="0"/>
            <w:vAlign w:val="center"/>
          </w:tcPr>
          <w:p w14:paraId="1C58B130">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“1+X”专项督查</w:t>
            </w:r>
          </w:p>
        </w:tc>
        <w:tc>
          <w:tcPr>
            <w:tcW w:w="804" w:type="dxa"/>
            <w:noWrap w:val="0"/>
            <w:vAlign w:val="center"/>
          </w:tcPr>
          <w:p w14:paraId="3A6AD31E">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日常检查、专项检查</w:t>
            </w:r>
          </w:p>
        </w:tc>
        <w:tc>
          <w:tcPr>
            <w:tcW w:w="1191" w:type="dxa"/>
            <w:noWrap w:val="0"/>
            <w:vAlign w:val="center"/>
          </w:tcPr>
          <w:p w14:paraId="79E2410F">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宾馆饭店、商场超市等相关经营主体</w:t>
            </w:r>
          </w:p>
        </w:tc>
        <w:tc>
          <w:tcPr>
            <w:tcW w:w="3536" w:type="dxa"/>
            <w:noWrap w:val="0"/>
            <w:vAlign w:val="center"/>
          </w:tcPr>
          <w:p w14:paraId="569BCB6D">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
              </w:rPr>
              <w:t>依职权检查党政机关、人民团体、国有企事业单位或者党员干部个人等存在奢侈消费、定点消费、使用公款定期支付等问题线索。</w:t>
            </w:r>
          </w:p>
        </w:tc>
        <w:tc>
          <w:tcPr>
            <w:tcW w:w="2603" w:type="dxa"/>
            <w:noWrap w:val="0"/>
            <w:vAlign w:val="center"/>
          </w:tcPr>
          <w:p w14:paraId="58390E73">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全区宾馆饭店、商场超市等相关经营主体的3%</w:t>
            </w:r>
          </w:p>
        </w:tc>
        <w:tc>
          <w:tcPr>
            <w:tcW w:w="526" w:type="dxa"/>
            <w:noWrap w:val="0"/>
            <w:vAlign w:val="center"/>
          </w:tcPr>
          <w:p w14:paraId="40330E58">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现场检查</w:t>
            </w:r>
          </w:p>
        </w:tc>
        <w:tc>
          <w:tcPr>
            <w:tcW w:w="994" w:type="dxa"/>
            <w:noWrap w:val="0"/>
            <w:vAlign w:val="center"/>
          </w:tcPr>
          <w:p w14:paraId="3397EE6F">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全区</w:t>
            </w:r>
          </w:p>
        </w:tc>
        <w:tc>
          <w:tcPr>
            <w:tcW w:w="586" w:type="dxa"/>
            <w:noWrap w:val="0"/>
            <w:vAlign w:val="center"/>
          </w:tcPr>
          <w:p w14:paraId="3F3FE95B">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是</w:t>
            </w:r>
          </w:p>
        </w:tc>
        <w:tc>
          <w:tcPr>
            <w:tcW w:w="1234" w:type="dxa"/>
            <w:noWrap w:val="0"/>
            <w:vAlign w:val="center"/>
          </w:tcPr>
          <w:p w14:paraId="20E6F315">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全年</w:t>
            </w:r>
          </w:p>
        </w:tc>
        <w:tc>
          <w:tcPr>
            <w:tcW w:w="1283" w:type="dxa"/>
            <w:noWrap w:val="0"/>
            <w:vAlign w:val="center"/>
          </w:tcPr>
          <w:p w14:paraId="2B36DAC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每月一次</w:t>
            </w:r>
          </w:p>
        </w:tc>
        <w:tc>
          <w:tcPr>
            <w:tcW w:w="1408" w:type="dxa"/>
            <w:noWrap w:val="0"/>
            <w:vAlign w:val="center"/>
          </w:tcPr>
          <w:p w14:paraId="1FF1D27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0.3%</w:t>
            </w:r>
          </w:p>
        </w:tc>
        <w:tc>
          <w:tcPr>
            <w:tcW w:w="464" w:type="dxa"/>
            <w:noWrap w:val="0"/>
            <w:vAlign w:val="center"/>
          </w:tcPr>
          <w:p w14:paraId="5330D40D">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信用处</w:t>
            </w:r>
          </w:p>
        </w:tc>
        <w:tc>
          <w:tcPr>
            <w:tcW w:w="881" w:type="dxa"/>
            <w:noWrap w:val="0"/>
            <w:vAlign w:val="center"/>
          </w:tcPr>
          <w:p w14:paraId="473BA59A">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2E48B1F2">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34FD599C">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《党政机关厉行节约反对浪费条例》、《福建省贯彻&lt;党政机关厉行节约反对浪费条例&gt;实施细则》等</w:t>
            </w:r>
          </w:p>
        </w:tc>
      </w:tr>
      <w:tr w14:paraId="469A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4" w:hRule="atLeast"/>
          <w:jc w:val="center"/>
        </w:trPr>
        <w:tc>
          <w:tcPr>
            <w:tcW w:w="548" w:type="dxa"/>
            <w:vMerge w:val="restart"/>
            <w:noWrap w:val="0"/>
            <w:vAlign w:val="center"/>
          </w:tcPr>
          <w:p w14:paraId="32C01E02">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2</w:t>
            </w:r>
          </w:p>
        </w:tc>
        <w:tc>
          <w:tcPr>
            <w:tcW w:w="1361" w:type="dxa"/>
            <w:vMerge w:val="restart"/>
            <w:noWrap w:val="0"/>
            <w:vAlign w:val="center"/>
          </w:tcPr>
          <w:p w14:paraId="7901476E">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r>
              <w:rPr>
                <w:rFonts w:hint="eastAsia" w:ascii="仿宋_GB2312" w:hAnsi="仿宋_GB2312" w:eastAsia="仿宋_GB2312" w:cs="仿宋_GB2312"/>
                <w:i w:val="0"/>
                <w:snapToGrid w:val="0"/>
                <w:color w:val="auto"/>
                <w:kern w:val="0"/>
                <w:sz w:val="28"/>
                <w:szCs w:val="28"/>
                <w:u w:val="none"/>
                <w:lang w:val="en-US" w:eastAsia="zh-CN" w:bidi="ar-SA"/>
              </w:rPr>
              <w:t>经营主体登记事项检查及公示信息“双随机、一公开”抽查</w:t>
            </w:r>
          </w:p>
        </w:tc>
        <w:tc>
          <w:tcPr>
            <w:tcW w:w="804" w:type="dxa"/>
            <w:vMerge w:val="restart"/>
            <w:noWrap w:val="0"/>
            <w:vAlign w:val="center"/>
          </w:tcPr>
          <w:p w14:paraId="52DD5FA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bCs/>
                <w:snapToGrid w:val="0"/>
                <w:color w:val="auto"/>
                <w:kern w:val="0"/>
                <w:sz w:val="28"/>
                <w:szCs w:val="28"/>
              </w:rPr>
            </w:pPr>
            <w:r>
              <w:rPr>
                <w:rFonts w:hint="eastAsia" w:ascii="仿宋_GB2312" w:hAnsi="仿宋_GB2312" w:eastAsia="仿宋_GB2312" w:cs="仿宋_GB2312"/>
                <w:i w:val="0"/>
                <w:snapToGrid w:val="0"/>
                <w:color w:val="auto"/>
                <w:kern w:val="0"/>
                <w:sz w:val="28"/>
                <w:szCs w:val="28"/>
                <w:u w:val="none"/>
                <w:lang w:val="en-US" w:eastAsia="zh-CN" w:bidi="ar-SA"/>
              </w:rPr>
              <w:t>日常检查</w:t>
            </w:r>
          </w:p>
        </w:tc>
        <w:tc>
          <w:tcPr>
            <w:tcW w:w="1191" w:type="dxa"/>
            <w:vMerge w:val="restart"/>
            <w:noWrap w:val="0"/>
            <w:vAlign w:val="center"/>
          </w:tcPr>
          <w:p w14:paraId="3B646D9E">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全量经营主体</w:t>
            </w:r>
          </w:p>
        </w:tc>
        <w:tc>
          <w:tcPr>
            <w:tcW w:w="3536" w:type="dxa"/>
            <w:vMerge w:val="restart"/>
            <w:noWrap w:val="0"/>
            <w:vAlign w:val="center"/>
          </w:tcPr>
          <w:p w14:paraId="720FB95B">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1.登记事项检查，包括营业执照（登记证）规范使用情况的检查，名称规范使用情况的检查，经营（驻在）期限的检查，经营（业务）范围中无需审批的经营（业务）项目的检查，住所（经营场所）或驻在场所的检查，注册资本实缴情况的检查，法定代表人（负责人）任职情况的检查，法定代表人、自然人股东身份真实性的检查；</w:t>
            </w:r>
          </w:p>
          <w:p w14:paraId="78C3D605">
            <w:pPr>
              <w:keepNext w:val="0"/>
              <w:keepLines w:val="0"/>
              <w:pageBreakBefore w:val="0"/>
              <w:widowControl w:val="0"/>
              <w:numPr>
                <w:ilvl w:val="0"/>
                <w:numId w:val="0"/>
              </w:numPr>
              <w:suppressLineNumbers w:val="0"/>
              <w:kinsoku/>
              <w:wordWrap/>
              <w:overflowPunct w:val="0"/>
              <w:topLinePunct w:val="0"/>
              <w:autoSpaceDE/>
              <w:autoSpaceDN/>
              <w:bidi w:val="0"/>
              <w:adjustRightInd w:val="0"/>
              <w:snapToGrid w:val="0"/>
              <w:spacing w:line="240" w:lineRule="auto"/>
              <w:ind w:right="0" w:right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2.公示信息检查，包括年度报告公示信息的检查、即时公示信息的检查。</w:t>
            </w:r>
          </w:p>
        </w:tc>
        <w:tc>
          <w:tcPr>
            <w:tcW w:w="2603" w:type="dxa"/>
            <w:vMerge w:val="restart"/>
            <w:noWrap w:val="0"/>
            <w:vAlign w:val="center"/>
          </w:tcPr>
          <w:p w14:paraId="116B72A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企业抽查比例不低于上年度期末经营主体的3%</w:t>
            </w:r>
          </w:p>
        </w:tc>
        <w:tc>
          <w:tcPr>
            <w:tcW w:w="526" w:type="dxa"/>
            <w:vMerge w:val="restart"/>
            <w:noWrap w:val="0"/>
            <w:vAlign w:val="center"/>
          </w:tcPr>
          <w:p w14:paraId="27668D9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r>
              <w:rPr>
                <w:rFonts w:hint="eastAsia" w:ascii="仿宋_GB2312" w:hAnsi="仿宋_GB2312" w:eastAsia="仿宋_GB2312" w:cs="仿宋_GB2312"/>
                <w:snapToGrid w:val="0"/>
                <w:color w:val="auto"/>
                <w:kern w:val="0"/>
                <w:sz w:val="28"/>
                <w:szCs w:val="28"/>
                <w:vertAlign w:val="baseline"/>
                <w:lang w:val="en-US" w:eastAsia="zh-CN"/>
              </w:rPr>
              <w:t>现场检查</w:t>
            </w:r>
          </w:p>
        </w:tc>
        <w:tc>
          <w:tcPr>
            <w:tcW w:w="994" w:type="dxa"/>
            <w:vMerge w:val="restart"/>
            <w:noWrap w:val="0"/>
            <w:vAlign w:val="center"/>
          </w:tcPr>
          <w:p w14:paraId="051AE0F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b/>
                <w:bCs/>
                <w:snapToGrid w:val="0"/>
                <w:color w:val="auto"/>
                <w:kern w:val="0"/>
                <w:sz w:val="28"/>
                <w:szCs w:val="28"/>
                <w:lang w:val="en-US"/>
              </w:rPr>
            </w:pPr>
            <w:r>
              <w:rPr>
                <w:rFonts w:hint="eastAsia" w:ascii="仿宋_GB2312" w:hAnsi="仿宋_GB2312" w:eastAsia="仿宋_GB2312" w:cs="仿宋_GB2312"/>
                <w:snapToGrid w:val="0"/>
                <w:color w:val="auto"/>
                <w:kern w:val="0"/>
                <w:sz w:val="28"/>
                <w:szCs w:val="28"/>
                <w:vertAlign w:val="baseline"/>
                <w:lang w:val="en-US" w:eastAsia="zh-CN" w:bidi="ar-SA"/>
              </w:rPr>
              <w:t>全区</w:t>
            </w:r>
          </w:p>
        </w:tc>
        <w:tc>
          <w:tcPr>
            <w:tcW w:w="586" w:type="dxa"/>
            <w:vMerge w:val="restart"/>
            <w:noWrap w:val="0"/>
            <w:vAlign w:val="center"/>
          </w:tcPr>
          <w:p w14:paraId="01CEEBF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r>
              <w:rPr>
                <w:rFonts w:hint="eastAsia" w:ascii="仿宋_GB2312" w:hAnsi="仿宋_GB2312" w:eastAsia="仿宋_GB2312" w:cs="仿宋_GB2312"/>
                <w:snapToGrid w:val="0"/>
                <w:color w:val="auto"/>
                <w:kern w:val="0"/>
                <w:sz w:val="28"/>
                <w:szCs w:val="28"/>
                <w:vertAlign w:val="baseline"/>
                <w:lang w:val="en-US" w:eastAsia="zh-CN" w:bidi="ar-SA"/>
              </w:rPr>
              <w:t>是</w:t>
            </w:r>
          </w:p>
        </w:tc>
        <w:tc>
          <w:tcPr>
            <w:tcW w:w="1234" w:type="dxa"/>
            <w:vMerge w:val="restart"/>
            <w:noWrap w:val="0"/>
            <w:vAlign w:val="center"/>
          </w:tcPr>
          <w:p w14:paraId="4759C2B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rPr>
            </w:pPr>
            <w:r>
              <w:rPr>
                <w:rFonts w:hint="eastAsia" w:ascii="仿宋_GB2312" w:hAnsi="仿宋_GB2312" w:eastAsia="仿宋_GB2312" w:cs="仿宋_GB2312"/>
                <w:snapToGrid w:val="0"/>
                <w:color w:val="auto"/>
                <w:kern w:val="0"/>
                <w:sz w:val="28"/>
                <w:szCs w:val="28"/>
                <w:vertAlign w:val="baseline"/>
                <w:lang w:val="en-US" w:eastAsia="zh-CN"/>
              </w:rPr>
              <w:t>全年</w:t>
            </w:r>
          </w:p>
        </w:tc>
        <w:tc>
          <w:tcPr>
            <w:tcW w:w="1283" w:type="dxa"/>
            <w:noWrap w:val="0"/>
            <w:vAlign w:val="center"/>
          </w:tcPr>
          <w:p w14:paraId="6D0EC87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上半年一次</w:t>
            </w:r>
          </w:p>
          <w:p w14:paraId="01DB44D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（下同）</w:t>
            </w:r>
          </w:p>
        </w:tc>
        <w:tc>
          <w:tcPr>
            <w:tcW w:w="1408" w:type="dxa"/>
            <w:noWrap w:val="0"/>
            <w:vAlign w:val="center"/>
          </w:tcPr>
          <w:p w14:paraId="18B2EB2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1%～1.5%</w:t>
            </w:r>
          </w:p>
        </w:tc>
        <w:tc>
          <w:tcPr>
            <w:tcW w:w="464" w:type="dxa"/>
            <w:vMerge w:val="restart"/>
            <w:noWrap w:val="0"/>
            <w:vAlign w:val="center"/>
          </w:tcPr>
          <w:p w14:paraId="4388BA0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信用处</w:t>
            </w:r>
          </w:p>
        </w:tc>
        <w:tc>
          <w:tcPr>
            <w:tcW w:w="881" w:type="dxa"/>
            <w:vMerge w:val="restart"/>
            <w:noWrap w:val="0"/>
            <w:vAlign w:val="center"/>
          </w:tcPr>
          <w:p w14:paraId="49D630C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vMerge w:val="restart"/>
            <w:noWrap w:val="0"/>
            <w:vAlign w:val="center"/>
          </w:tcPr>
          <w:p w14:paraId="0769FC2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snapToGrid w:val="0"/>
                <w:color w:val="auto"/>
                <w:kern w:val="0"/>
                <w:sz w:val="28"/>
                <w:szCs w:val="28"/>
              </w:rPr>
              <w:t>平潭综合实验区市场监管局</w:t>
            </w:r>
          </w:p>
        </w:tc>
        <w:tc>
          <w:tcPr>
            <w:tcW w:w="2496" w:type="dxa"/>
            <w:vMerge w:val="restart"/>
            <w:noWrap w:val="0"/>
            <w:vAlign w:val="center"/>
          </w:tcPr>
          <w:p w14:paraId="3CF8254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公司法》《市场主体登记管理条例》《市场主体登记管理条例实施细则》《企业名称登记管理规定》《合伙企业法》《企业公示信息抽查暂行办法》《个体工商户年度报告暂行办法》《农民专业合作社年度报告公示暂行办法》</w:t>
            </w:r>
          </w:p>
        </w:tc>
      </w:tr>
      <w:tr w14:paraId="071D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548" w:type="dxa"/>
            <w:vMerge w:val="continue"/>
            <w:noWrap w:val="0"/>
            <w:vAlign w:val="center"/>
          </w:tcPr>
          <w:p w14:paraId="3D164BB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rPr>
            </w:pPr>
          </w:p>
        </w:tc>
        <w:tc>
          <w:tcPr>
            <w:tcW w:w="1361" w:type="dxa"/>
            <w:vMerge w:val="continue"/>
            <w:noWrap w:val="0"/>
            <w:vAlign w:val="center"/>
          </w:tcPr>
          <w:p w14:paraId="2AA2CF2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804" w:type="dxa"/>
            <w:vMerge w:val="continue"/>
            <w:noWrap w:val="0"/>
            <w:vAlign w:val="center"/>
          </w:tcPr>
          <w:p w14:paraId="66E5A91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rPr>
            </w:pPr>
          </w:p>
        </w:tc>
        <w:tc>
          <w:tcPr>
            <w:tcW w:w="1191" w:type="dxa"/>
            <w:vMerge w:val="continue"/>
            <w:noWrap w:val="0"/>
            <w:vAlign w:val="center"/>
          </w:tcPr>
          <w:p w14:paraId="33220B4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3536" w:type="dxa"/>
            <w:vMerge w:val="continue"/>
            <w:noWrap w:val="0"/>
            <w:vAlign w:val="center"/>
          </w:tcPr>
          <w:p w14:paraId="0125582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2603" w:type="dxa"/>
            <w:vMerge w:val="continue"/>
            <w:noWrap w:val="0"/>
            <w:vAlign w:val="center"/>
          </w:tcPr>
          <w:p w14:paraId="7EA7861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526" w:type="dxa"/>
            <w:vMerge w:val="continue"/>
            <w:noWrap w:val="0"/>
            <w:vAlign w:val="center"/>
          </w:tcPr>
          <w:p w14:paraId="215FFF7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994" w:type="dxa"/>
            <w:vMerge w:val="continue"/>
            <w:noWrap w:val="0"/>
            <w:vAlign w:val="center"/>
          </w:tcPr>
          <w:p w14:paraId="5215ADE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586" w:type="dxa"/>
            <w:vMerge w:val="continue"/>
            <w:noWrap w:val="0"/>
            <w:vAlign w:val="center"/>
          </w:tcPr>
          <w:p w14:paraId="3ADDBEA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1234" w:type="dxa"/>
            <w:vMerge w:val="continue"/>
            <w:noWrap w:val="0"/>
            <w:vAlign w:val="center"/>
          </w:tcPr>
          <w:p w14:paraId="64D04C8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1283" w:type="dxa"/>
            <w:noWrap w:val="0"/>
            <w:vAlign w:val="center"/>
          </w:tcPr>
          <w:p w14:paraId="4B43F70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下半</w:t>
            </w:r>
          </w:p>
          <w:p w14:paraId="4D75C14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年一次</w:t>
            </w:r>
          </w:p>
        </w:tc>
        <w:tc>
          <w:tcPr>
            <w:tcW w:w="1408" w:type="dxa"/>
            <w:noWrap w:val="0"/>
            <w:vAlign w:val="center"/>
          </w:tcPr>
          <w:p w14:paraId="3C56A29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2%～2.5%</w:t>
            </w:r>
          </w:p>
        </w:tc>
        <w:tc>
          <w:tcPr>
            <w:tcW w:w="464" w:type="dxa"/>
            <w:vMerge w:val="continue"/>
            <w:noWrap w:val="0"/>
            <w:vAlign w:val="center"/>
          </w:tcPr>
          <w:p w14:paraId="0CEF390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vertAlign w:val="baseline"/>
                <w:lang w:val="en-US" w:eastAsia="zh-CN"/>
              </w:rPr>
            </w:pPr>
          </w:p>
        </w:tc>
        <w:tc>
          <w:tcPr>
            <w:tcW w:w="881" w:type="dxa"/>
            <w:vMerge w:val="continue"/>
            <w:noWrap w:val="0"/>
            <w:vAlign w:val="center"/>
          </w:tcPr>
          <w:p w14:paraId="2F151FE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vertAlign w:val="baseline"/>
                <w:lang w:val="en-US" w:eastAsia="zh-CN"/>
              </w:rPr>
            </w:pPr>
          </w:p>
        </w:tc>
        <w:tc>
          <w:tcPr>
            <w:tcW w:w="1500" w:type="dxa"/>
            <w:vMerge w:val="continue"/>
            <w:noWrap w:val="0"/>
            <w:vAlign w:val="center"/>
          </w:tcPr>
          <w:p w14:paraId="2E58340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vertAlign w:val="baseline"/>
                <w:lang w:val="en-US" w:eastAsia="zh-CN"/>
              </w:rPr>
            </w:pPr>
          </w:p>
        </w:tc>
        <w:tc>
          <w:tcPr>
            <w:tcW w:w="2496" w:type="dxa"/>
            <w:vMerge w:val="continue"/>
            <w:noWrap w:val="0"/>
            <w:vAlign w:val="center"/>
          </w:tcPr>
          <w:p w14:paraId="281AD4C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bCs/>
                <w:snapToGrid w:val="0"/>
                <w:color w:val="auto"/>
                <w:kern w:val="0"/>
                <w:sz w:val="28"/>
                <w:szCs w:val="28"/>
                <w:vertAlign w:val="baseline"/>
                <w:lang w:val="en-US" w:eastAsia="zh-CN"/>
              </w:rPr>
            </w:pPr>
          </w:p>
        </w:tc>
      </w:tr>
      <w:tr w14:paraId="4C611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 w:hRule="atLeast"/>
          <w:jc w:val="center"/>
        </w:trPr>
        <w:tc>
          <w:tcPr>
            <w:tcW w:w="548" w:type="dxa"/>
            <w:vMerge w:val="restart"/>
            <w:noWrap w:val="0"/>
            <w:vAlign w:val="center"/>
          </w:tcPr>
          <w:p w14:paraId="0E0B9AA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3</w:t>
            </w:r>
          </w:p>
        </w:tc>
        <w:tc>
          <w:tcPr>
            <w:tcW w:w="1361" w:type="dxa"/>
            <w:vMerge w:val="restart"/>
            <w:noWrap w:val="0"/>
            <w:vAlign w:val="center"/>
          </w:tcPr>
          <w:p w14:paraId="03005BDF">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rPr>
            </w:pPr>
            <w:r>
              <w:rPr>
                <w:rFonts w:hint="eastAsia" w:ascii="仿宋_GB2312" w:hAnsi="仿宋_GB2312" w:eastAsia="仿宋_GB2312" w:cs="仿宋_GB2312"/>
                <w:b w:val="0"/>
                <w:bCs w:val="0"/>
                <w:snapToGrid w:val="0"/>
                <w:color w:val="auto"/>
                <w:kern w:val="0"/>
                <w:sz w:val="28"/>
                <w:szCs w:val="28"/>
                <w:vertAlign w:val="baseline"/>
                <w:lang w:val="en-US" w:eastAsia="zh-CN"/>
              </w:rPr>
              <w:t>价格监督检查</w:t>
            </w:r>
          </w:p>
        </w:tc>
        <w:tc>
          <w:tcPr>
            <w:tcW w:w="804" w:type="dxa"/>
            <w:vMerge w:val="restart"/>
            <w:noWrap w:val="0"/>
            <w:vAlign w:val="center"/>
          </w:tcPr>
          <w:p w14:paraId="02C9AABB">
            <w:pPr>
              <w:keepNext w:val="0"/>
              <w:keepLines w:val="0"/>
              <w:pageBreakBefore w:val="0"/>
              <w:widowControl w:val="0"/>
              <w:kinsoku/>
              <w:wordWrap/>
              <w:overflowPunct w:val="0"/>
              <w:topLinePunct w:val="0"/>
              <w:autoSpaceDE/>
              <w:autoSpaceDN/>
              <w:bidi w:val="0"/>
              <w:adjustRightInd w:val="0"/>
              <w:snapToGrid w:val="0"/>
              <w:spacing w:line="240" w:lineRule="auto"/>
              <w:jc w:val="center"/>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日常检查、专项检查</w:t>
            </w:r>
          </w:p>
        </w:tc>
        <w:tc>
          <w:tcPr>
            <w:tcW w:w="1191" w:type="dxa"/>
            <w:vMerge w:val="restart"/>
            <w:noWrap w:val="0"/>
            <w:vAlign w:val="center"/>
          </w:tcPr>
          <w:p w14:paraId="4DADB2A5">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bidi="ar-SA"/>
              </w:rPr>
            </w:pPr>
            <w:r>
              <w:rPr>
                <w:rFonts w:hint="eastAsia" w:ascii="仿宋_GB2312" w:hAnsi="仿宋_GB2312" w:eastAsia="仿宋_GB2312" w:cs="仿宋_GB2312"/>
                <w:b w:val="0"/>
                <w:bCs w:val="0"/>
                <w:snapToGrid w:val="0"/>
                <w:color w:val="auto"/>
                <w:kern w:val="0"/>
                <w:sz w:val="28"/>
                <w:szCs w:val="28"/>
                <w:vertAlign w:val="baseline"/>
                <w:lang w:val="en-US" w:eastAsia="zh-CN" w:bidi="ar-SA"/>
              </w:rPr>
              <w:t>全量经营主体</w:t>
            </w:r>
          </w:p>
        </w:tc>
        <w:tc>
          <w:tcPr>
            <w:tcW w:w="3536" w:type="dxa"/>
            <w:vMerge w:val="restart"/>
            <w:noWrap w:val="0"/>
            <w:vAlign w:val="center"/>
          </w:tcPr>
          <w:p w14:paraId="5F1D780B">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1.是否按规定明码标价；</w:t>
            </w:r>
          </w:p>
          <w:p w14:paraId="7FFF56CC">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2.是否有价格欺诈等不正当价格行为；</w:t>
            </w:r>
          </w:p>
          <w:p w14:paraId="6DC3A83C">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3.是否执行政府定价、政府指导价（根据政策和专项检查任务确定）。</w:t>
            </w:r>
          </w:p>
        </w:tc>
        <w:tc>
          <w:tcPr>
            <w:tcW w:w="2603" w:type="dxa"/>
            <w:vMerge w:val="restart"/>
            <w:noWrap w:val="0"/>
            <w:vAlign w:val="center"/>
          </w:tcPr>
          <w:p w14:paraId="5AE9A311">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bidi="ar-SA"/>
              </w:rPr>
              <w:t>企业抽查比例不低于上年度期末经营主体的3%</w:t>
            </w:r>
          </w:p>
        </w:tc>
        <w:tc>
          <w:tcPr>
            <w:tcW w:w="526" w:type="dxa"/>
            <w:vMerge w:val="restart"/>
            <w:noWrap w:val="0"/>
            <w:vAlign w:val="center"/>
          </w:tcPr>
          <w:p w14:paraId="1D49BB36">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现场检查</w:t>
            </w:r>
          </w:p>
        </w:tc>
        <w:tc>
          <w:tcPr>
            <w:tcW w:w="994" w:type="dxa"/>
            <w:vMerge w:val="restart"/>
            <w:noWrap w:val="0"/>
            <w:vAlign w:val="center"/>
          </w:tcPr>
          <w:p w14:paraId="2E198F2E">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default" w:ascii="仿宋_GB2312" w:hAnsi="仿宋_GB2312" w:eastAsia="仿宋_GB2312" w:cs="仿宋_GB2312"/>
                <w:b w:val="0"/>
                <w:bCs w:val="0"/>
                <w:snapToGrid w:val="0"/>
                <w:color w:val="auto"/>
                <w:kern w:val="0"/>
                <w:sz w:val="28"/>
                <w:szCs w:val="28"/>
                <w:vertAlign w:val="baseline"/>
                <w:lang w:val="en-US" w:eastAsia="zh-CN" w:bidi="ar-SA"/>
              </w:rPr>
            </w:pPr>
            <w:r>
              <w:rPr>
                <w:rFonts w:hint="eastAsia" w:ascii="仿宋_GB2312" w:hAnsi="仿宋_GB2312" w:eastAsia="仿宋_GB2312" w:cs="仿宋_GB2312"/>
                <w:b w:val="0"/>
                <w:bCs w:val="0"/>
                <w:snapToGrid w:val="0"/>
                <w:color w:val="auto"/>
                <w:kern w:val="0"/>
                <w:sz w:val="28"/>
                <w:szCs w:val="28"/>
                <w:vertAlign w:val="baseline"/>
                <w:lang w:val="en-US" w:eastAsia="zh-CN" w:bidi="ar-SA"/>
              </w:rPr>
              <w:t>全区</w:t>
            </w:r>
          </w:p>
        </w:tc>
        <w:tc>
          <w:tcPr>
            <w:tcW w:w="586" w:type="dxa"/>
            <w:vMerge w:val="restart"/>
            <w:noWrap w:val="0"/>
            <w:vAlign w:val="center"/>
          </w:tcPr>
          <w:p w14:paraId="23A2DEB8">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bidi="ar-SA"/>
              </w:rPr>
            </w:pPr>
            <w:r>
              <w:rPr>
                <w:rFonts w:hint="eastAsia" w:ascii="仿宋_GB2312" w:hAnsi="仿宋_GB2312" w:eastAsia="仿宋_GB2312" w:cs="仿宋_GB2312"/>
                <w:b w:val="0"/>
                <w:bCs w:val="0"/>
                <w:snapToGrid w:val="0"/>
                <w:color w:val="auto"/>
                <w:kern w:val="0"/>
                <w:sz w:val="28"/>
                <w:szCs w:val="28"/>
                <w:vertAlign w:val="baseline"/>
                <w:lang w:val="en-US" w:eastAsia="zh-CN" w:bidi="ar-SA"/>
              </w:rPr>
              <w:t>是</w:t>
            </w:r>
          </w:p>
        </w:tc>
        <w:tc>
          <w:tcPr>
            <w:tcW w:w="1234" w:type="dxa"/>
            <w:vMerge w:val="restart"/>
            <w:noWrap w:val="0"/>
            <w:vAlign w:val="center"/>
          </w:tcPr>
          <w:p w14:paraId="34F7AF0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2025年</w:t>
            </w:r>
          </w:p>
        </w:tc>
        <w:tc>
          <w:tcPr>
            <w:tcW w:w="1283" w:type="dxa"/>
            <w:noWrap w:val="0"/>
            <w:vAlign w:val="center"/>
          </w:tcPr>
          <w:p w14:paraId="13E496D7">
            <w:pPr>
              <w:keepNext w:val="0"/>
              <w:keepLines w:val="0"/>
              <w:pageBreakBefore w:val="0"/>
              <w:widowControl w:val="0"/>
              <w:kinsoku/>
              <w:wordWrap/>
              <w:overflowPunct w:val="0"/>
              <w:topLinePunct w:val="0"/>
              <w:autoSpaceDE/>
              <w:autoSpaceDN/>
              <w:bidi w:val="0"/>
              <w:adjustRightInd w:val="0"/>
              <w:snapToGrid w:val="0"/>
              <w:spacing w:line="240" w:lineRule="auto"/>
              <w:jc w:val="center"/>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上半年</w:t>
            </w:r>
          </w:p>
        </w:tc>
        <w:tc>
          <w:tcPr>
            <w:tcW w:w="1408" w:type="dxa"/>
            <w:noWrap w:val="0"/>
            <w:vAlign w:val="center"/>
          </w:tcPr>
          <w:p w14:paraId="71832A2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1%～1.5%</w:t>
            </w:r>
          </w:p>
        </w:tc>
        <w:tc>
          <w:tcPr>
            <w:tcW w:w="464" w:type="dxa"/>
            <w:vMerge w:val="restart"/>
            <w:noWrap w:val="0"/>
            <w:vAlign w:val="center"/>
          </w:tcPr>
          <w:p w14:paraId="3FCFBE23">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default"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物价处</w:t>
            </w:r>
          </w:p>
        </w:tc>
        <w:tc>
          <w:tcPr>
            <w:tcW w:w="881" w:type="dxa"/>
            <w:vMerge w:val="restart"/>
            <w:noWrap w:val="0"/>
            <w:vAlign w:val="center"/>
          </w:tcPr>
          <w:p w14:paraId="76DE0BFD">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vMerge w:val="restart"/>
            <w:noWrap w:val="0"/>
            <w:vAlign w:val="center"/>
          </w:tcPr>
          <w:p w14:paraId="06B11ECC">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i w:val="0"/>
                <w:snapToGrid w:val="0"/>
                <w:color w:val="auto"/>
                <w:kern w:val="0"/>
                <w:sz w:val="28"/>
                <w:szCs w:val="28"/>
                <w:u w:val="none"/>
                <w:lang w:val="en-US" w:eastAsia="zh-CN" w:bidi="ar-SA"/>
              </w:rPr>
            </w:pPr>
            <w:r>
              <w:rPr>
                <w:rFonts w:hint="eastAsia" w:ascii="仿宋_GB2312" w:hAnsi="仿宋_GB2312" w:eastAsia="仿宋_GB2312" w:cs="仿宋_GB2312"/>
                <w:snapToGrid w:val="0"/>
                <w:color w:val="auto"/>
                <w:kern w:val="0"/>
                <w:sz w:val="28"/>
                <w:szCs w:val="28"/>
              </w:rPr>
              <w:t>平潭综合实验区市场监管局</w:t>
            </w:r>
          </w:p>
        </w:tc>
        <w:tc>
          <w:tcPr>
            <w:tcW w:w="2496" w:type="dxa"/>
            <w:vMerge w:val="restart"/>
            <w:noWrap w:val="0"/>
            <w:vAlign w:val="center"/>
          </w:tcPr>
          <w:p w14:paraId="697671EF">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lang w:val="en-US" w:eastAsia="zh-CN"/>
              </w:rPr>
            </w:pPr>
            <w:r>
              <w:rPr>
                <w:rFonts w:hint="eastAsia" w:ascii="仿宋_GB2312" w:hAnsi="仿宋_GB2312" w:eastAsia="仿宋_GB2312" w:cs="仿宋_GB2312"/>
                <w:b w:val="0"/>
                <w:bCs w:val="0"/>
                <w:snapToGrid w:val="0"/>
                <w:color w:val="auto"/>
                <w:kern w:val="0"/>
                <w:sz w:val="28"/>
                <w:szCs w:val="28"/>
                <w:lang w:val="en-US" w:eastAsia="zh-CN"/>
              </w:rPr>
              <w:t>《中华人民共和国价格法》《明码标价和禁止价格欺诈规定》等</w:t>
            </w:r>
          </w:p>
        </w:tc>
      </w:tr>
      <w:tr w14:paraId="10B9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8" w:type="dxa"/>
            <w:vMerge w:val="continue"/>
            <w:noWrap w:val="0"/>
            <w:vAlign w:val="center"/>
          </w:tcPr>
          <w:p w14:paraId="09B63B45">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rPr>
            </w:pPr>
          </w:p>
        </w:tc>
        <w:tc>
          <w:tcPr>
            <w:tcW w:w="1361" w:type="dxa"/>
            <w:vMerge w:val="continue"/>
            <w:noWrap w:val="0"/>
            <w:vAlign w:val="center"/>
          </w:tcPr>
          <w:p w14:paraId="309F3DE8">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804" w:type="dxa"/>
            <w:vMerge w:val="continue"/>
            <w:noWrap w:val="0"/>
            <w:vAlign w:val="center"/>
          </w:tcPr>
          <w:p w14:paraId="28027C05">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rPr>
            </w:pPr>
          </w:p>
        </w:tc>
        <w:tc>
          <w:tcPr>
            <w:tcW w:w="1191" w:type="dxa"/>
            <w:vMerge w:val="continue"/>
            <w:noWrap w:val="0"/>
            <w:vAlign w:val="center"/>
          </w:tcPr>
          <w:p w14:paraId="3CD09EAF">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3536" w:type="dxa"/>
            <w:vMerge w:val="continue"/>
            <w:noWrap w:val="0"/>
            <w:vAlign w:val="center"/>
          </w:tcPr>
          <w:p w14:paraId="0E39D62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2603" w:type="dxa"/>
            <w:vMerge w:val="continue"/>
            <w:noWrap w:val="0"/>
            <w:vAlign w:val="center"/>
          </w:tcPr>
          <w:p w14:paraId="4F245F84">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526" w:type="dxa"/>
            <w:vMerge w:val="continue"/>
            <w:noWrap w:val="0"/>
            <w:vAlign w:val="center"/>
          </w:tcPr>
          <w:p w14:paraId="20FB4FE4">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994" w:type="dxa"/>
            <w:vMerge w:val="continue"/>
            <w:noWrap w:val="0"/>
            <w:vAlign w:val="center"/>
          </w:tcPr>
          <w:p w14:paraId="5D090893">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586" w:type="dxa"/>
            <w:vMerge w:val="continue"/>
            <w:noWrap w:val="0"/>
            <w:vAlign w:val="center"/>
          </w:tcPr>
          <w:p w14:paraId="24733BE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1234" w:type="dxa"/>
            <w:vMerge w:val="continue"/>
            <w:noWrap w:val="0"/>
            <w:vAlign w:val="center"/>
          </w:tcPr>
          <w:p w14:paraId="45314C1D">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tc>
        <w:tc>
          <w:tcPr>
            <w:tcW w:w="1283" w:type="dxa"/>
            <w:noWrap w:val="0"/>
            <w:vAlign w:val="center"/>
          </w:tcPr>
          <w:p w14:paraId="014A4CFC">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下半年</w:t>
            </w:r>
          </w:p>
        </w:tc>
        <w:tc>
          <w:tcPr>
            <w:tcW w:w="1408" w:type="dxa"/>
            <w:noWrap w:val="0"/>
            <w:vAlign w:val="center"/>
          </w:tcPr>
          <w:p w14:paraId="2B552A0C">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2%～2.5%</w:t>
            </w:r>
          </w:p>
        </w:tc>
        <w:tc>
          <w:tcPr>
            <w:tcW w:w="464" w:type="dxa"/>
            <w:vMerge w:val="continue"/>
            <w:noWrap w:val="0"/>
            <w:vAlign w:val="center"/>
          </w:tcPr>
          <w:p w14:paraId="5B061E2F">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881" w:type="dxa"/>
            <w:vMerge w:val="continue"/>
            <w:noWrap w:val="0"/>
            <w:vAlign w:val="center"/>
          </w:tcPr>
          <w:p w14:paraId="66E4BBD2">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1500" w:type="dxa"/>
            <w:vMerge w:val="continue"/>
            <w:noWrap w:val="0"/>
            <w:vAlign w:val="center"/>
          </w:tcPr>
          <w:p w14:paraId="5DA1910E">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2496" w:type="dxa"/>
            <w:vMerge w:val="continue"/>
            <w:noWrap w:val="0"/>
            <w:vAlign w:val="center"/>
          </w:tcPr>
          <w:p w14:paraId="2E2E6DC8">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b w:val="0"/>
                <w:bCs w:val="0"/>
                <w:snapToGrid w:val="0"/>
                <w:color w:val="auto"/>
                <w:kern w:val="0"/>
                <w:sz w:val="28"/>
                <w:szCs w:val="28"/>
                <w:vertAlign w:val="baseline"/>
                <w:lang w:val="en-US" w:eastAsia="zh-CN"/>
              </w:rPr>
            </w:pPr>
          </w:p>
        </w:tc>
      </w:tr>
      <w:tr w14:paraId="7196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jc w:val="center"/>
        </w:trPr>
        <w:tc>
          <w:tcPr>
            <w:tcW w:w="548" w:type="dxa"/>
            <w:vMerge w:val="restart"/>
            <w:noWrap w:val="0"/>
            <w:vAlign w:val="center"/>
          </w:tcPr>
          <w:p w14:paraId="73F186E5">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4</w:t>
            </w:r>
          </w:p>
        </w:tc>
        <w:tc>
          <w:tcPr>
            <w:tcW w:w="1361" w:type="dxa"/>
            <w:vMerge w:val="restart"/>
            <w:noWrap w:val="0"/>
            <w:vAlign w:val="center"/>
          </w:tcPr>
          <w:p w14:paraId="2A7A9EDA">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重要时节重点对象价格监督检查</w:t>
            </w:r>
          </w:p>
        </w:tc>
        <w:tc>
          <w:tcPr>
            <w:tcW w:w="804" w:type="dxa"/>
            <w:vMerge w:val="restart"/>
            <w:noWrap w:val="0"/>
            <w:vAlign w:val="center"/>
          </w:tcPr>
          <w:p w14:paraId="0CCE7C95">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日常检查、专项检查</w:t>
            </w:r>
          </w:p>
        </w:tc>
        <w:tc>
          <w:tcPr>
            <w:tcW w:w="1191" w:type="dxa"/>
            <w:noWrap w:val="0"/>
            <w:vAlign w:val="center"/>
          </w:tcPr>
          <w:p w14:paraId="108AB6B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登记备案的“酒店”“民宿”经营主体；餐饮、销售月饼、粽子等特殊商品的商铺、超市；</w:t>
            </w:r>
          </w:p>
        </w:tc>
        <w:tc>
          <w:tcPr>
            <w:tcW w:w="3536" w:type="dxa"/>
            <w:vMerge w:val="restart"/>
            <w:noWrap w:val="0"/>
            <w:vAlign w:val="center"/>
          </w:tcPr>
          <w:p w14:paraId="1261893A">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1.是否按规定明码标价；</w:t>
            </w:r>
          </w:p>
          <w:p w14:paraId="3D200D82">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2.是否有价格欺诈、哄抬价格等不正当价格行为；</w:t>
            </w:r>
          </w:p>
          <w:p w14:paraId="0084A099">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3.是否执行政府定价、政府指导价、政府干预措施（根据政策和专项检查任务确定）；</w:t>
            </w:r>
          </w:p>
          <w:p w14:paraId="71BD7660">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 xml:space="preserve">4.其他价格违法行为（根据政策和专项检查任务确定）。                 </w:t>
            </w:r>
          </w:p>
        </w:tc>
        <w:tc>
          <w:tcPr>
            <w:tcW w:w="2603" w:type="dxa"/>
            <w:vMerge w:val="restart"/>
            <w:noWrap w:val="0"/>
            <w:vAlign w:val="center"/>
          </w:tcPr>
          <w:p w14:paraId="4D58D808">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登记备案的“酒店”“民宿”经营主体的10%；其他对应特定行业的经营主体及有关单位机构的3%</w:t>
            </w:r>
          </w:p>
        </w:tc>
        <w:tc>
          <w:tcPr>
            <w:tcW w:w="526" w:type="dxa"/>
            <w:vMerge w:val="restart"/>
            <w:noWrap w:val="0"/>
            <w:vAlign w:val="center"/>
          </w:tcPr>
          <w:p w14:paraId="3CBB81AE">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现场检查</w:t>
            </w:r>
          </w:p>
        </w:tc>
        <w:tc>
          <w:tcPr>
            <w:tcW w:w="994" w:type="dxa"/>
            <w:vMerge w:val="restart"/>
            <w:noWrap w:val="0"/>
            <w:vAlign w:val="center"/>
          </w:tcPr>
          <w:p w14:paraId="637CB4FF">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default"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全区</w:t>
            </w:r>
          </w:p>
        </w:tc>
        <w:tc>
          <w:tcPr>
            <w:tcW w:w="586" w:type="dxa"/>
            <w:vMerge w:val="restart"/>
            <w:noWrap w:val="0"/>
            <w:vAlign w:val="center"/>
          </w:tcPr>
          <w:p w14:paraId="4F9CAD81">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是</w:t>
            </w:r>
          </w:p>
        </w:tc>
        <w:tc>
          <w:tcPr>
            <w:tcW w:w="1234" w:type="dxa"/>
            <w:vMerge w:val="restart"/>
            <w:noWrap w:val="0"/>
            <w:vAlign w:val="center"/>
          </w:tcPr>
          <w:p w14:paraId="471AFB33">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元旦、春节、清明、五一、端午、中秋、国庆等重要时节</w:t>
            </w:r>
          </w:p>
        </w:tc>
        <w:tc>
          <w:tcPr>
            <w:tcW w:w="1283" w:type="dxa"/>
            <w:vMerge w:val="restart"/>
            <w:noWrap w:val="0"/>
            <w:vAlign w:val="center"/>
          </w:tcPr>
          <w:p w14:paraId="10B3B654">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根据重要时节节点确定</w:t>
            </w:r>
          </w:p>
        </w:tc>
        <w:tc>
          <w:tcPr>
            <w:tcW w:w="1408" w:type="dxa"/>
            <w:vMerge w:val="restart"/>
            <w:noWrap w:val="0"/>
            <w:vAlign w:val="center"/>
          </w:tcPr>
          <w:p w14:paraId="0B2D4743">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根据实际情况确定</w:t>
            </w:r>
          </w:p>
        </w:tc>
        <w:tc>
          <w:tcPr>
            <w:tcW w:w="464" w:type="dxa"/>
            <w:vMerge w:val="restart"/>
            <w:noWrap w:val="0"/>
            <w:vAlign w:val="center"/>
          </w:tcPr>
          <w:p w14:paraId="194660B6">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default"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物价处</w:t>
            </w:r>
          </w:p>
        </w:tc>
        <w:tc>
          <w:tcPr>
            <w:tcW w:w="881" w:type="dxa"/>
            <w:vMerge w:val="restart"/>
            <w:noWrap w:val="0"/>
            <w:vAlign w:val="center"/>
          </w:tcPr>
          <w:p w14:paraId="6ACDCC30">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协同检查事项相关业务部门</w:t>
            </w:r>
          </w:p>
        </w:tc>
        <w:tc>
          <w:tcPr>
            <w:tcW w:w="1500" w:type="dxa"/>
            <w:vMerge w:val="restart"/>
            <w:noWrap w:val="0"/>
            <w:vAlign w:val="center"/>
          </w:tcPr>
          <w:p w14:paraId="76A5902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平潭综合实验区市场监管局</w:t>
            </w:r>
          </w:p>
        </w:tc>
        <w:tc>
          <w:tcPr>
            <w:tcW w:w="2496" w:type="dxa"/>
            <w:vMerge w:val="restart"/>
            <w:noWrap w:val="0"/>
            <w:vAlign w:val="center"/>
          </w:tcPr>
          <w:p w14:paraId="43A2AA38">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《中华人民共和国价格法》《明码标价和禁止价格欺诈规定》等</w:t>
            </w:r>
          </w:p>
        </w:tc>
      </w:tr>
      <w:tr w14:paraId="08E7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2" w:hRule="atLeast"/>
          <w:jc w:val="center"/>
        </w:trPr>
        <w:tc>
          <w:tcPr>
            <w:tcW w:w="548" w:type="dxa"/>
            <w:vMerge w:val="continue"/>
            <w:noWrap w:val="0"/>
            <w:vAlign w:val="center"/>
          </w:tcPr>
          <w:p w14:paraId="4CC50F3A">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pPr>
          </w:p>
        </w:tc>
        <w:tc>
          <w:tcPr>
            <w:tcW w:w="1361" w:type="dxa"/>
            <w:vMerge w:val="continue"/>
            <w:noWrap w:val="0"/>
            <w:vAlign w:val="center"/>
          </w:tcPr>
          <w:p w14:paraId="55BCAD05">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pPr>
          </w:p>
        </w:tc>
        <w:tc>
          <w:tcPr>
            <w:tcW w:w="804" w:type="dxa"/>
            <w:vMerge w:val="continue"/>
            <w:noWrap w:val="0"/>
            <w:vAlign w:val="center"/>
          </w:tcPr>
          <w:p w14:paraId="7FDB3AC0">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pPr>
          </w:p>
        </w:tc>
        <w:tc>
          <w:tcPr>
            <w:tcW w:w="1191" w:type="dxa"/>
            <w:noWrap w:val="0"/>
            <w:vAlign w:val="center"/>
          </w:tcPr>
          <w:p w14:paraId="3165B8E1">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r>
              <w:rPr>
                <w:rFonts w:hint="eastAsia" w:ascii="仿宋_GB2312" w:hAnsi="仿宋_GB2312" w:eastAsia="仿宋_GB2312" w:cs="仿宋_GB2312"/>
                <w:b w:val="0"/>
                <w:bCs w:val="0"/>
                <w:snapToGrid w:val="0"/>
                <w:color w:val="auto"/>
                <w:kern w:val="0"/>
                <w:sz w:val="28"/>
                <w:szCs w:val="28"/>
                <w:vertAlign w:val="baseline"/>
                <w:lang w:val="en-US" w:eastAsia="zh-CN"/>
              </w:rPr>
              <w:t>机动车停放、物业、校外培训机构、景区价格监督检查</w:t>
            </w:r>
          </w:p>
        </w:tc>
        <w:tc>
          <w:tcPr>
            <w:tcW w:w="3536" w:type="dxa"/>
            <w:vMerge w:val="continue"/>
            <w:noWrap w:val="0"/>
            <w:vAlign w:val="center"/>
          </w:tcPr>
          <w:p w14:paraId="590FAB62">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2603" w:type="dxa"/>
            <w:vMerge w:val="continue"/>
            <w:noWrap w:val="0"/>
            <w:vAlign w:val="center"/>
          </w:tcPr>
          <w:p w14:paraId="6A84DA01">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526" w:type="dxa"/>
            <w:vMerge w:val="continue"/>
            <w:noWrap w:val="0"/>
            <w:vAlign w:val="center"/>
          </w:tcPr>
          <w:p w14:paraId="268A4B8D">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994" w:type="dxa"/>
            <w:vMerge w:val="continue"/>
            <w:noWrap w:val="0"/>
            <w:vAlign w:val="center"/>
          </w:tcPr>
          <w:p w14:paraId="716B673E">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586" w:type="dxa"/>
            <w:vMerge w:val="continue"/>
            <w:noWrap w:val="0"/>
            <w:vAlign w:val="center"/>
          </w:tcPr>
          <w:p w14:paraId="45FC5248">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1234" w:type="dxa"/>
            <w:vMerge w:val="continue"/>
            <w:noWrap w:val="0"/>
            <w:vAlign w:val="center"/>
          </w:tcPr>
          <w:p w14:paraId="705FA3C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1283" w:type="dxa"/>
            <w:vMerge w:val="continue"/>
            <w:noWrap w:val="0"/>
            <w:vAlign w:val="center"/>
          </w:tcPr>
          <w:p w14:paraId="73DB433C">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1408" w:type="dxa"/>
            <w:vMerge w:val="continue"/>
            <w:noWrap w:val="0"/>
            <w:vAlign w:val="center"/>
          </w:tcPr>
          <w:p w14:paraId="792258C0">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464" w:type="dxa"/>
            <w:vMerge w:val="continue"/>
            <w:noWrap w:val="0"/>
            <w:vAlign w:val="center"/>
          </w:tcPr>
          <w:p w14:paraId="4F5C6C7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881" w:type="dxa"/>
            <w:vMerge w:val="continue"/>
            <w:noWrap w:val="0"/>
            <w:vAlign w:val="center"/>
          </w:tcPr>
          <w:p w14:paraId="53775C9E">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1500" w:type="dxa"/>
            <w:vMerge w:val="continue"/>
            <w:noWrap w:val="0"/>
            <w:vAlign w:val="center"/>
          </w:tcPr>
          <w:p w14:paraId="534BF058">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c>
          <w:tcPr>
            <w:tcW w:w="2496" w:type="dxa"/>
            <w:vMerge w:val="continue"/>
            <w:noWrap w:val="0"/>
            <w:vAlign w:val="center"/>
          </w:tcPr>
          <w:p w14:paraId="1BC922E7">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b w:val="0"/>
                <w:bCs w:val="0"/>
                <w:snapToGrid w:val="0"/>
                <w:color w:val="auto"/>
                <w:kern w:val="0"/>
                <w:sz w:val="28"/>
                <w:szCs w:val="28"/>
                <w:vertAlign w:val="baseline"/>
                <w:lang w:val="en-US" w:eastAsia="zh-CN"/>
              </w:rPr>
            </w:pPr>
          </w:p>
        </w:tc>
      </w:tr>
      <w:tr w14:paraId="4FAF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0" w:hRule="atLeast"/>
          <w:jc w:val="center"/>
        </w:trPr>
        <w:tc>
          <w:tcPr>
            <w:tcW w:w="548" w:type="dxa"/>
            <w:noWrap w:val="0"/>
            <w:vAlign w:val="center"/>
          </w:tcPr>
          <w:p w14:paraId="5824155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5</w:t>
            </w:r>
          </w:p>
        </w:tc>
        <w:tc>
          <w:tcPr>
            <w:tcW w:w="1361" w:type="dxa"/>
            <w:noWrap w:val="0"/>
            <w:vAlign w:val="center"/>
          </w:tcPr>
          <w:p w14:paraId="6B77E93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药品、医疗器械、保健食品、特殊医学用途配方食品广告主发布相关广告的审查批准情况的检查</w:t>
            </w:r>
          </w:p>
        </w:tc>
        <w:tc>
          <w:tcPr>
            <w:tcW w:w="804" w:type="dxa"/>
            <w:noWrap w:val="0"/>
            <w:vAlign w:val="center"/>
          </w:tcPr>
          <w:p w14:paraId="1CAF91B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w:t>
            </w:r>
          </w:p>
        </w:tc>
        <w:tc>
          <w:tcPr>
            <w:tcW w:w="1191" w:type="dxa"/>
            <w:noWrap w:val="0"/>
            <w:vAlign w:val="center"/>
          </w:tcPr>
          <w:p w14:paraId="04A48CF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药品、医疗器械、保健食品、特殊医学用途配方食品广告主</w:t>
            </w:r>
          </w:p>
        </w:tc>
        <w:tc>
          <w:tcPr>
            <w:tcW w:w="3536" w:type="dxa"/>
            <w:noWrap w:val="0"/>
            <w:vAlign w:val="center"/>
          </w:tcPr>
          <w:p w14:paraId="3AFF34E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根据相关法律法规和规章规定执行。重点检查药品、保健食品、医疗器械、特殊医学用途配方食品广告发布批准文件的有效期是否过期，企业、个体工商户及其他经营单位是否按批准文件发布广告</w:t>
            </w:r>
            <w:r>
              <w:rPr>
                <w:rFonts w:hint="eastAsia" w:ascii="仿宋_GB2312" w:hAnsi="仿宋_GB2312" w:eastAsia="仿宋_GB2312" w:cs="仿宋_GB2312"/>
                <w:snapToGrid w:val="0"/>
                <w:color w:val="auto"/>
                <w:kern w:val="0"/>
                <w:sz w:val="28"/>
                <w:szCs w:val="28"/>
                <w:lang w:eastAsia="zh-CN"/>
              </w:rPr>
              <w:t>。</w:t>
            </w:r>
          </w:p>
        </w:tc>
        <w:tc>
          <w:tcPr>
            <w:tcW w:w="2603" w:type="dxa"/>
            <w:noWrap w:val="0"/>
            <w:vAlign w:val="center"/>
          </w:tcPr>
          <w:p w14:paraId="519E59F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药品、医疗器械、保健食品、特殊医学用途配方食品广告主总数5%</w:t>
            </w:r>
          </w:p>
        </w:tc>
        <w:tc>
          <w:tcPr>
            <w:tcW w:w="526" w:type="dxa"/>
            <w:noWrap w:val="0"/>
            <w:vAlign w:val="center"/>
          </w:tcPr>
          <w:p w14:paraId="7BF77A3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38D391E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6FC4A00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是</w:t>
            </w:r>
          </w:p>
        </w:tc>
        <w:tc>
          <w:tcPr>
            <w:tcW w:w="1234" w:type="dxa"/>
            <w:noWrap w:val="0"/>
            <w:vAlign w:val="center"/>
          </w:tcPr>
          <w:p w14:paraId="485923B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全</w:t>
            </w:r>
            <w:r>
              <w:rPr>
                <w:rFonts w:hint="eastAsia" w:ascii="仿宋_GB2312" w:hAnsi="仿宋_GB2312" w:eastAsia="仿宋_GB2312" w:cs="仿宋_GB2312"/>
                <w:snapToGrid w:val="0"/>
                <w:color w:val="auto"/>
                <w:kern w:val="0"/>
                <w:sz w:val="28"/>
                <w:szCs w:val="28"/>
              </w:rPr>
              <w:t>年</w:t>
            </w:r>
          </w:p>
        </w:tc>
        <w:tc>
          <w:tcPr>
            <w:tcW w:w="1283" w:type="dxa"/>
            <w:noWrap w:val="0"/>
            <w:vAlign w:val="center"/>
          </w:tcPr>
          <w:p w14:paraId="4DDEDF76">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上、下半年</w:t>
            </w:r>
          </w:p>
        </w:tc>
        <w:tc>
          <w:tcPr>
            <w:tcW w:w="1408" w:type="dxa"/>
            <w:noWrap w:val="0"/>
            <w:vAlign w:val="center"/>
          </w:tcPr>
          <w:p w14:paraId="446FF42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各2.5%</w:t>
            </w:r>
          </w:p>
        </w:tc>
        <w:tc>
          <w:tcPr>
            <w:tcW w:w="464" w:type="dxa"/>
            <w:noWrap w:val="0"/>
            <w:vAlign w:val="center"/>
          </w:tcPr>
          <w:p w14:paraId="7D11931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公平交易处</w:t>
            </w:r>
          </w:p>
        </w:tc>
        <w:tc>
          <w:tcPr>
            <w:tcW w:w="881" w:type="dxa"/>
            <w:noWrap w:val="0"/>
            <w:vAlign w:val="center"/>
          </w:tcPr>
          <w:p w14:paraId="0AFC350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07ED5D3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7894694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《中华人民共和国广告法》</w:t>
            </w:r>
          </w:p>
        </w:tc>
      </w:tr>
      <w:tr w14:paraId="6AF0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48" w:type="dxa"/>
            <w:noWrap w:val="0"/>
            <w:vAlign w:val="center"/>
          </w:tcPr>
          <w:p w14:paraId="5AE2B14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6</w:t>
            </w:r>
          </w:p>
        </w:tc>
        <w:tc>
          <w:tcPr>
            <w:tcW w:w="1361" w:type="dxa"/>
            <w:noWrap w:val="0"/>
            <w:vAlign w:val="center"/>
          </w:tcPr>
          <w:p w14:paraId="7B32250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广告经营者、广告发布者建立、健全广告业务的承接登记、审核、档案管理制度情况的检查</w:t>
            </w:r>
          </w:p>
        </w:tc>
        <w:tc>
          <w:tcPr>
            <w:tcW w:w="804" w:type="dxa"/>
            <w:noWrap w:val="0"/>
            <w:vAlign w:val="center"/>
          </w:tcPr>
          <w:p w14:paraId="50CD49C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w:t>
            </w:r>
          </w:p>
        </w:tc>
        <w:tc>
          <w:tcPr>
            <w:tcW w:w="1191" w:type="dxa"/>
            <w:noWrap w:val="0"/>
            <w:vAlign w:val="center"/>
          </w:tcPr>
          <w:p w14:paraId="282B2EC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广告经营者、广告发布者</w:t>
            </w:r>
          </w:p>
        </w:tc>
        <w:tc>
          <w:tcPr>
            <w:tcW w:w="3536" w:type="dxa"/>
            <w:noWrap w:val="0"/>
            <w:vAlign w:val="center"/>
          </w:tcPr>
          <w:p w14:paraId="2A14AE2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1.是否按照国家有关规定，建立、健全广告业务的承接登记、审核、档案管理、统计报表等制度</w:t>
            </w:r>
            <w:r>
              <w:rPr>
                <w:rFonts w:hint="eastAsia" w:ascii="仿宋_GB2312" w:hAnsi="仿宋_GB2312" w:eastAsia="仿宋_GB2312" w:cs="仿宋_GB2312"/>
                <w:snapToGrid w:val="0"/>
                <w:color w:val="auto"/>
                <w:kern w:val="0"/>
                <w:sz w:val="28"/>
                <w:szCs w:val="28"/>
                <w:lang w:eastAsia="zh-CN"/>
              </w:rPr>
              <w:t>；</w:t>
            </w:r>
          </w:p>
          <w:p w14:paraId="66B76A0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2.是否按照规定报送《广告业统计报表》</w:t>
            </w:r>
            <w:r>
              <w:rPr>
                <w:rFonts w:hint="eastAsia" w:ascii="仿宋_GB2312" w:hAnsi="仿宋_GB2312" w:eastAsia="仿宋_GB2312" w:cs="仿宋_GB2312"/>
                <w:snapToGrid w:val="0"/>
                <w:color w:val="auto"/>
                <w:kern w:val="0"/>
                <w:sz w:val="28"/>
                <w:szCs w:val="28"/>
                <w:lang w:eastAsia="zh-CN"/>
              </w:rPr>
              <w:t>；</w:t>
            </w:r>
          </w:p>
          <w:p w14:paraId="35A060B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3.关注相关档案资料的完整性及时间上的连续性</w:t>
            </w:r>
            <w:r>
              <w:rPr>
                <w:rFonts w:hint="eastAsia" w:ascii="仿宋_GB2312" w:hAnsi="仿宋_GB2312" w:eastAsia="仿宋_GB2312" w:cs="仿宋_GB2312"/>
                <w:snapToGrid w:val="0"/>
                <w:color w:val="auto"/>
                <w:kern w:val="0"/>
                <w:sz w:val="28"/>
                <w:szCs w:val="28"/>
                <w:lang w:eastAsia="zh-CN"/>
              </w:rPr>
              <w:t>。</w:t>
            </w:r>
          </w:p>
        </w:tc>
        <w:tc>
          <w:tcPr>
            <w:tcW w:w="2603" w:type="dxa"/>
            <w:noWrap w:val="0"/>
            <w:vAlign w:val="center"/>
          </w:tcPr>
          <w:p w14:paraId="6D3B182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广告经营者、广告发布者总数5%</w:t>
            </w:r>
          </w:p>
        </w:tc>
        <w:tc>
          <w:tcPr>
            <w:tcW w:w="526" w:type="dxa"/>
            <w:noWrap w:val="0"/>
            <w:vAlign w:val="center"/>
          </w:tcPr>
          <w:p w14:paraId="7A705DF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052CCD9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rPr>
              <w:t>全</w:t>
            </w:r>
            <w:r>
              <w:rPr>
                <w:rFonts w:hint="eastAsia" w:ascii="仿宋_GB2312" w:hAnsi="仿宋_GB2312" w:eastAsia="仿宋_GB2312" w:cs="仿宋_GB2312"/>
                <w:snapToGrid w:val="0"/>
                <w:color w:val="auto"/>
                <w:kern w:val="0"/>
                <w:sz w:val="28"/>
                <w:szCs w:val="28"/>
                <w:lang w:val="en-US" w:eastAsia="zh-CN"/>
              </w:rPr>
              <w:t>区</w:t>
            </w:r>
          </w:p>
        </w:tc>
        <w:tc>
          <w:tcPr>
            <w:tcW w:w="586" w:type="dxa"/>
            <w:noWrap w:val="0"/>
            <w:vAlign w:val="center"/>
          </w:tcPr>
          <w:p w14:paraId="73E9BF6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是</w:t>
            </w:r>
          </w:p>
        </w:tc>
        <w:tc>
          <w:tcPr>
            <w:tcW w:w="1234" w:type="dxa"/>
            <w:noWrap w:val="0"/>
            <w:vAlign w:val="center"/>
          </w:tcPr>
          <w:p w14:paraId="0FC5E87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全年</w:t>
            </w:r>
          </w:p>
        </w:tc>
        <w:tc>
          <w:tcPr>
            <w:tcW w:w="1283" w:type="dxa"/>
            <w:noWrap w:val="0"/>
            <w:vAlign w:val="center"/>
          </w:tcPr>
          <w:p w14:paraId="19E2509D">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上、下半年</w:t>
            </w:r>
          </w:p>
        </w:tc>
        <w:tc>
          <w:tcPr>
            <w:tcW w:w="1408" w:type="dxa"/>
            <w:noWrap w:val="0"/>
            <w:vAlign w:val="center"/>
          </w:tcPr>
          <w:p w14:paraId="53B72283">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各2.5%</w:t>
            </w:r>
          </w:p>
        </w:tc>
        <w:tc>
          <w:tcPr>
            <w:tcW w:w="464" w:type="dxa"/>
            <w:noWrap w:val="0"/>
            <w:vAlign w:val="center"/>
          </w:tcPr>
          <w:p w14:paraId="7FAA950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公平交易处</w:t>
            </w:r>
          </w:p>
        </w:tc>
        <w:tc>
          <w:tcPr>
            <w:tcW w:w="881" w:type="dxa"/>
            <w:noWrap w:val="0"/>
            <w:vAlign w:val="center"/>
          </w:tcPr>
          <w:p w14:paraId="0E05D29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335DD35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0585184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《中华人民共和国广告法》</w:t>
            </w:r>
          </w:p>
        </w:tc>
      </w:tr>
      <w:tr w14:paraId="444E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5" w:hRule="atLeast"/>
          <w:jc w:val="center"/>
        </w:trPr>
        <w:tc>
          <w:tcPr>
            <w:tcW w:w="548" w:type="dxa"/>
            <w:noWrap w:val="0"/>
            <w:vAlign w:val="center"/>
          </w:tcPr>
          <w:p w14:paraId="737429F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7</w:t>
            </w:r>
          </w:p>
        </w:tc>
        <w:tc>
          <w:tcPr>
            <w:tcW w:w="1361" w:type="dxa"/>
            <w:noWrap w:val="0"/>
            <w:vAlign w:val="center"/>
          </w:tcPr>
          <w:p w14:paraId="6C44549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广告主发布广告法第九条、 第十条规定的禁止情形的广告行为的检查</w:t>
            </w:r>
          </w:p>
        </w:tc>
        <w:tc>
          <w:tcPr>
            <w:tcW w:w="804" w:type="dxa"/>
            <w:noWrap w:val="0"/>
            <w:vAlign w:val="center"/>
          </w:tcPr>
          <w:p w14:paraId="4B5B5D2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10CC10E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为推销商品或服务制作发布商业广告的经营主体</w:t>
            </w:r>
          </w:p>
        </w:tc>
        <w:tc>
          <w:tcPr>
            <w:tcW w:w="3536" w:type="dxa"/>
            <w:noWrap w:val="0"/>
            <w:vAlign w:val="center"/>
          </w:tcPr>
          <w:p w14:paraId="22156B9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广告不得有下列情形：（一）使用或者变相使用中华人民共和国的国旗、国歌、国徽，军旗、军歌、军徽；（二）使用或者变相使用国家机关、国家机关工作人员的名义或者形象；（三）使用“国家级”、“最高级”、“最佳”等用语；（四）损害国家的尊严或者利益，泄露国家秘密；（五）妨碍社会安定，损害社会公共利益；（六）危害人身、财产安全，泄露个人隐私；（七）</w:t>
            </w:r>
          </w:p>
          <w:p w14:paraId="3581B0A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妨碍社会公共秩序或者违背社会良好风尚；（八）含有淫秽、色情、赌博、迷信、恐怖、暴力的内容；（九）含有民族、种族、宗教、性别歧视的内容；（十）妨碍环境、自然资源或者文化遗产保护；（十一）法律、行政法规规定禁止的其他情形。</w:t>
            </w:r>
          </w:p>
          <w:p w14:paraId="788F054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2.广告不得损害未成年人和残疾人的身心健康。</w:t>
            </w:r>
          </w:p>
          <w:p w14:paraId="4655AF0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p>
        </w:tc>
        <w:tc>
          <w:tcPr>
            <w:tcW w:w="2603" w:type="dxa"/>
            <w:noWrap w:val="0"/>
            <w:vAlign w:val="center"/>
          </w:tcPr>
          <w:p w14:paraId="160E627C">
            <w:pPr>
              <w:keepNext w:val="0"/>
              <w:keepLines w:val="0"/>
              <w:pageBreakBefore w:val="0"/>
              <w:widowControl w:val="0"/>
              <w:kinsoku/>
              <w:wordWrap/>
              <w:overflowPunct w:val="0"/>
              <w:topLinePunct w:val="0"/>
              <w:autoSpaceDE/>
              <w:autoSpaceDN/>
              <w:bidi w:val="0"/>
              <w:adjustRightInd w:val="0"/>
              <w:snapToGrid w:val="0"/>
              <w:spacing w:line="356" w:lineRule="exact"/>
              <w:jc w:val="both"/>
              <w:textAlignment w:val="auto"/>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制作发布商业广告经营主体的3%</w:t>
            </w:r>
          </w:p>
        </w:tc>
        <w:tc>
          <w:tcPr>
            <w:tcW w:w="526" w:type="dxa"/>
            <w:noWrap w:val="0"/>
            <w:vAlign w:val="center"/>
          </w:tcPr>
          <w:p w14:paraId="5CF0F51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71D9258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56AA229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40D1103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全年</w:t>
            </w:r>
          </w:p>
        </w:tc>
        <w:tc>
          <w:tcPr>
            <w:tcW w:w="1283" w:type="dxa"/>
            <w:noWrap w:val="0"/>
            <w:vAlign w:val="center"/>
          </w:tcPr>
          <w:p w14:paraId="57517F4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上、下半年</w:t>
            </w:r>
          </w:p>
        </w:tc>
        <w:tc>
          <w:tcPr>
            <w:tcW w:w="1408" w:type="dxa"/>
            <w:noWrap w:val="0"/>
            <w:vAlign w:val="center"/>
          </w:tcPr>
          <w:p w14:paraId="186A1750">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rPr>
              <w:t>各1.5%</w:t>
            </w:r>
          </w:p>
        </w:tc>
        <w:tc>
          <w:tcPr>
            <w:tcW w:w="464" w:type="dxa"/>
            <w:noWrap w:val="0"/>
            <w:vAlign w:val="center"/>
          </w:tcPr>
          <w:p w14:paraId="1CF258E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公平交易处</w:t>
            </w:r>
          </w:p>
        </w:tc>
        <w:tc>
          <w:tcPr>
            <w:tcW w:w="881" w:type="dxa"/>
            <w:noWrap w:val="0"/>
            <w:vAlign w:val="center"/>
          </w:tcPr>
          <w:p w14:paraId="36DFB5F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410045F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0198B267">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《中华人民共和国广告法》</w:t>
            </w:r>
          </w:p>
        </w:tc>
      </w:tr>
      <w:tr w14:paraId="4FEB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6" w:hRule="atLeast"/>
          <w:jc w:val="center"/>
        </w:trPr>
        <w:tc>
          <w:tcPr>
            <w:tcW w:w="548" w:type="dxa"/>
            <w:noWrap w:val="0"/>
            <w:vAlign w:val="center"/>
          </w:tcPr>
          <w:p w14:paraId="46F03FF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8</w:t>
            </w:r>
          </w:p>
        </w:tc>
        <w:tc>
          <w:tcPr>
            <w:tcW w:w="1361" w:type="dxa"/>
            <w:noWrap w:val="0"/>
            <w:vAlign w:val="center"/>
          </w:tcPr>
          <w:p w14:paraId="6FFE0E0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网络交易平台落实法定义务的检查</w:t>
            </w:r>
          </w:p>
        </w:tc>
        <w:tc>
          <w:tcPr>
            <w:tcW w:w="804" w:type="dxa"/>
            <w:noWrap w:val="0"/>
            <w:vAlign w:val="center"/>
          </w:tcPr>
          <w:p w14:paraId="62174A3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291DFBE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网络交易平台经营者</w:t>
            </w:r>
          </w:p>
        </w:tc>
        <w:tc>
          <w:tcPr>
            <w:tcW w:w="3536" w:type="dxa"/>
            <w:noWrap w:val="0"/>
            <w:vAlign w:val="center"/>
          </w:tcPr>
          <w:p w14:paraId="776FC5C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1.是否拒绝为入驻的平台内经营者出具网络经营场所相关材料；2.是否</w:t>
            </w:r>
            <w:r>
              <w:rPr>
                <w:rFonts w:hint="eastAsia" w:ascii="仿宋_GB2312" w:hAnsi="仿宋_GB2312" w:eastAsia="仿宋_GB2312" w:cs="仿宋_GB2312"/>
                <w:snapToGrid w:val="0"/>
                <w:color w:val="auto"/>
                <w:kern w:val="0"/>
                <w:sz w:val="28"/>
                <w:szCs w:val="28"/>
              </w:rPr>
              <w:t>以显著方式区分标记已办理市场主体登记的经营者和未办理市场主体登记的经营者</w:t>
            </w:r>
            <w:r>
              <w:rPr>
                <w:rFonts w:hint="eastAsia" w:ascii="仿宋_GB2312" w:hAnsi="仿宋_GB2312" w:eastAsia="仿宋_GB2312" w:cs="仿宋_GB2312"/>
                <w:snapToGrid w:val="0"/>
                <w:color w:val="auto"/>
                <w:kern w:val="0"/>
                <w:sz w:val="28"/>
                <w:szCs w:val="28"/>
                <w:lang w:val="en-US" w:eastAsia="zh-CN"/>
              </w:rPr>
              <w:t>；3.对平台内经 营者违法行 为采取警 示、暂停或 者终止服务 等处理措施 未依法公示；4.网络交易平台经营者是否对平台内经营者及其发布的商品或者服务信息建立检查监控制度,发现平台内的商品或者服务信息有违反市场监督管理法律、法规、规章，损害国家利益和社会公共利益，违背公序良俗的，是否依法履行相关义务。</w:t>
            </w:r>
          </w:p>
          <w:p w14:paraId="6B9D1D8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p>
        </w:tc>
        <w:tc>
          <w:tcPr>
            <w:tcW w:w="2603" w:type="dxa"/>
            <w:noWrap w:val="0"/>
            <w:vAlign w:val="center"/>
          </w:tcPr>
          <w:p w14:paraId="408EE17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rPr>
            </w:pPr>
            <w:r>
              <w:rPr>
                <w:rFonts w:hint="eastAsia" w:ascii="仿宋_GB2312" w:hAnsi="仿宋_GB2312" w:eastAsia="仿宋_GB2312" w:cs="仿宋_GB2312"/>
                <w:snapToGrid w:val="0"/>
                <w:color w:val="auto"/>
                <w:kern w:val="0"/>
                <w:sz w:val="28"/>
                <w:szCs w:val="28"/>
                <w:lang w:val="en-US" w:eastAsia="zh-CN"/>
              </w:rPr>
              <w:t>网络交易平台全覆盖</w:t>
            </w:r>
          </w:p>
        </w:tc>
        <w:tc>
          <w:tcPr>
            <w:tcW w:w="526" w:type="dxa"/>
            <w:noWrap w:val="0"/>
            <w:vAlign w:val="center"/>
          </w:tcPr>
          <w:p w14:paraId="498C8A1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01F008C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143C5B0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7801C30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全年</w:t>
            </w:r>
          </w:p>
        </w:tc>
        <w:tc>
          <w:tcPr>
            <w:tcW w:w="1283" w:type="dxa"/>
            <w:noWrap w:val="0"/>
            <w:vAlign w:val="center"/>
          </w:tcPr>
          <w:p w14:paraId="53E0BE2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上、下半年</w:t>
            </w:r>
          </w:p>
        </w:tc>
        <w:tc>
          <w:tcPr>
            <w:tcW w:w="1408" w:type="dxa"/>
            <w:noWrap w:val="0"/>
            <w:vAlign w:val="center"/>
          </w:tcPr>
          <w:p w14:paraId="198A5A9C">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50%</w:t>
            </w:r>
          </w:p>
        </w:tc>
        <w:tc>
          <w:tcPr>
            <w:tcW w:w="464" w:type="dxa"/>
            <w:noWrap w:val="0"/>
            <w:vAlign w:val="center"/>
          </w:tcPr>
          <w:p w14:paraId="1256419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公平交易处</w:t>
            </w:r>
          </w:p>
        </w:tc>
        <w:tc>
          <w:tcPr>
            <w:tcW w:w="881" w:type="dxa"/>
            <w:noWrap w:val="0"/>
            <w:vAlign w:val="center"/>
          </w:tcPr>
          <w:p w14:paraId="2458E45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6091CCE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529328E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eastAsia="zh-CN"/>
              </w:rPr>
              <w:t>《</w:t>
            </w:r>
            <w:r>
              <w:rPr>
                <w:rFonts w:hint="eastAsia" w:ascii="仿宋_GB2312" w:hAnsi="仿宋_GB2312" w:eastAsia="仿宋_GB2312" w:cs="仿宋_GB2312"/>
                <w:snapToGrid w:val="0"/>
                <w:color w:val="auto"/>
                <w:kern w:val="0"/>
                <w:sz w:val="28"/>
                <w:szCs w:val="28"/>
                <w:lang w:val="en-US" w:eastAsia="zh-CN"/>
              </w:rPr>
              <w:t>中华人民共和国电子商务法》《</w:t>
            </w:r>
            <w:r>
              <w:rPr>
                <w:rFonts w:hint="eastAsia" w:ascii="仿宋_GB2312" w:hAnsi="仿宋_GB2312" w:eastAsia="仿宋_GB2312" w:cs="仿宋_GB2312"/>
                <w:snapToGrid w:val="0"/>
                <w:color w:val="auto"/>
                <w:kern w:val="0"/>
                <w:sz w:val="28"/>
                <w:szCs w:val="28"/>
                <w:lang w:eastAsia="zh-CN"/>
              </w:rPr>
              <w:t>网络交易监督管理办法》</w:t>
            </w:r>
          </w:p>
        </w:tc>
      </w:tr>
      <w:tr w14:paraId="1EC3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48" w:type="dxa"/>
            <w:noWrap w:val="0"/>
            <w:vAlign w:val="center"/>
          </w:tcPr>
          <w:p w14:paraId="51B7F2F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9</w:t>
            </w:r>
          </w:p>
        </w:tc>
        <w:tc>
          <w:tcPr>
            <w:tcW w:w="1361" w:type="dxa"/>
            <w:noWrap w:val="0"/>
            <w:vAlign w:val="center"/>
          </w:tcPr>
          <w:p w14:paraId="13AC570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经营者实施仿冒知名商品的</w:t>
            </w:r>
            <w:r>
              <w:rPr>
                <w:rFonts w:hint="eastAsia" w:ascii="仿宋_GB2312" w:hAnsi="仿宋_GB2312" w:eastAsia="仿宋_GB2312" w:cs="仿宋_GB2312"/>
                <w:snapToGrid w:val="0"/>
                <w:color w:val="auto"/>
                <w:kern w:val="0"/>
                <w:sz w:val="28"/>
                <w:szCs w:val="28"/>
              </w:rPr>
              <w:t>混淆行为</w:t>
            </w:r>
            <w:r>
              <w:rPr>
                <w:rFonts w:hint="eastAsia" w:ascii="仿宋_GB2312" w:hAnsi="仿宋_GB2312" w:eastAsia="仿宋_GB2312" w:cs="仿宋_GB2312"/>
                <w:snapToGrid w:val="0"/>
                <w:color w:val="auto"/>
                <w:kern w:val="0"/>
                <w:sz w:val="28"/>
                <w:szCs w:val="28"/>
                <w:lang w:val="en-US" w:eastAsia="zh-CN"/>
              </w:rPr>
              <w:t>的检查</w:t>
            </w:r>
          </w:p>
        </w:tc>
        <w:tc>
          <w:tcPr>
            <w:tcW w:w="804" w:type="dxa"/>
            <w:noWrap w:val="0"/>
            <w:vAlign w:val="center"/>
          </w:tcPr>
          <w:p w14:paraId="2F168DA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19E721B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从事商品经营活动的经营主体</w:t>
            </w:r>
          </w:p>
        </w:tc>
        <w:tc>
          <w:tcPr>
            <w:tcW w:w="3536" w:type="dxa"/>
            <w:noWrap w:val="0"/>
            <w:vAlign w:val="center"/>
          </w:tcPr>
          <w:p w14:paraId="3546395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p w14:paraId="314FE82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经营者不得实施下列混淆行为，引人误认为是他人商品或者与他人存在特定联系： 擅自使用与他人有一定影响的商品名称、包装、装潢等相同或者近似的标识。</w:t>
            </w:r>
          </w:p>
          <w:p w14:paraId="7E6F3DC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p>
          <w:p w14:paraId="2B78B7C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p>
        </w:tc>
        <w:tc>
          <w:tcPr>
            <w:tcW w:w="2603" w:type="dxa"/>
            <w:noWrap w:val="0"/>
            <w:vAlign w:val="center"/>
          </w:tcPr>
          <w:p w14:paraId="0436671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从事商品经营活动主体的3%</w:t>
            </w:r>
          </w:p>
        </w:tc>
        <w:tc>
          <w:tcPr>
            <w:tcW w:w="526" w:type="dxa"/>
            <w:noWrap w:val="0"/>
            <w:vAlign w:val="center"/>
          </w:tcPr>
          <w:p w14:paraId="3C54A3B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2F5CC22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1CDA0A0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519AFEC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全年</w:t>
            </w:r>
          </w:p>
        </w:tc>
        <w:tc>
          <w:tcPr>
            <w:tcW w:w="1283" w:type="dxa"/>
            <w:noWrap w:val="0"/>
            <w:vAlign w:val="center"/>
          </w:tcPr>
          <w:p w14:paraId="6CFA4248">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上、下半年</w:t>
            </w:r>
          </w:p>
        </w:tc>
        <w:tc>
          <w:tcPr>
            <w:tcW w:w="1408" w:type="dxa"/>
            <w:noWrap w:val="0"/>
            <w:vAlign w:val="center"/>
          </w:tcPr>
          <w:p w14:paraId="1F558C22">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SA"/>
              </w:rPr>
            </w:pPr>
            <w:r>
              <w:rPr>
                <w:rFonts w:hint="eastAsia" w:ascii="仿宋_GB2312" w:hAnsi="仿宋_GB2312" w:eastAsia="仿宋_GB2312" w:cs="仿宋_GB2312"/>
                <w:i w:val="0"/>
                <w:snapToGrid w:val="0"/>
                <w:color w:val="auto"/>
                <w:kern w:val="0"/>
                <w:sz w:val="28"/>
                <w:szCs w:val="28"/>
                <w:u w:val="none"/>
                <w:lang w:val="en-US" w:eastAsia="zh-CN"/>
              </w:rPr>
              <w:t>各1.5%</w:t>
            </w:r>
          </w:p>
        </w:tc>
        <w:tc>
          <w:tcPr>
            <w:tcW w:w="464" w:type="dxa"/>
            <w:noWrap w:val="0"/>
            <w:vAlign w:val="center"/>
          </w:tcPr>
          <w:p w14:paraId="3678B7A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公平交易处</w:t>
            </w:r>
          </w:p>
        </w:tc>
        <w:tc>
          <w:tcPr>
            <w:tcW w:w="881" w:type="dxa"/>
            <w:noWrap w:val="0"/>
            <w:vAlign w:val="center"/>
          </w:tcPr>
          <w:p w14:paraId="18A718D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bidi="ar-SA"/>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586FD03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7436877C">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bidi="ar-SA"/>
              </w:rPr>
            </w:pPr>
            <w:r>
              <w:rPr>
                <w:rFonts w:hint="eastAsia" w:ascii="仿宋_GB2312" w:hAnsi="仿宋_GB2312" w:eastAsia="仿宋_GB2312" w:cs="仿宋_GB2312"/>
                <w:snapToGrid w:val="0"/>
                <w:color w:val="auto"/>
                <w:kern w:val="0"/>
                <w:sz w:val="28"/>
                <w:szCs w:val="28"/>
                <w:lang w:val="en-US" w:eastAsia="zh-CN"/>
              </w:rPr>
              <w:t>《中华人民共和国反不正当竞争》、《关于禁止仿冒知名商品特有的名称、包装、装潢的不正当竞争行为的若干规定》</w:t>
            </w:r>
          </w:p>
        </w:tc>
      </w:tr>
      <w:tr w14:paraId="447F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9" w:hRule="atLeast"/>
          <w:jc w:val="center"/>
        </w:trPr>
        <w:tc>
          <w:tcPr>
            <w:tcW w:w="548" w:type="dxa"/>
            <w:noWrap w:val="0"/>
            <w:vAlign w:val="center"/>
          </w:tcPr>
          <w:p w14:paraId="1BC808F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10</w:t>
            </w:r>
          </w:p>
        </w:tc>
        <w:tc>
          <w:tcPr>
            <w:tcW w:w="1361" w:type="dxa"/>
            <w:noWrap w:val="0"/>
            <w:vAlign w:val="center"/>
          </w:tcPr>
          <w:p w14:paraId="3D955C0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p>
          <w:p w14:paraId="2DBDDC2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工许获证企业（食品相关产品）检查</w:t>
            </w:r>
          </w:p>
        </w:tc>
        <w:tc>
          <w:tcPr>
            <w:tcW w:w="804" w:type="dxa"/>
            <w:noWrap w:val="0"/>
            <w:vAlign w:val="center"/>
          </w:tcPr>
          <w:p w14:paraId="675AC3C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p>
          <w:p w14:paraId="42BC9E9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212FC37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p>
          <w:p w14:paraId="326F089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具备食品相关产品产品生产许可证的生产企业</w:t>
            </w:r>
          </w:p>
        </w:tc>
        <w:tc>
          <w:tcPr>
            <w:tcW w:w="3536" w:type="dxa"/>
            <w:noWrap w:val="0"/>
            <w:vAlign w:val="center"/>
          </w:tcPr>
          <w:p w14:paraId="4DA646C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按照《福建省工业产品生产许可证获证企业现场监督检查工作指引（试行）》《工业产品生产单位落实质量安全主体责任监督管理规定》（市场监管总局令第75号）《市场监管总局关于推进工业产品质量安全主体责任落实的指导意见》（国市监质监发〔2023〕38号）文件有关要求，检查企业是否保持工业产品生产许可证获证条件。</w:t>
            </w:r>
          </w:p>
        </w:tc>
        <w:tc>
          <w:tcPr>
            <w:tcW w:w="2603" w:type="dxa"/>
            <w:noWrap w:val="0"/>
            <w:vAlign w:val="center"/>
          </w:tcPr>
          <w:p w14:paraId="4DBC419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100%</w:t>
            </w:r>
          </w:p>
        </w:tc>
        <w:tc>
          <w:tcPr>
            <w:tcW w:w="526" w:type="dxa"/>
            <w:noWrap w:val="0"/>
            <w:vAlign w:val="center"/>
          </w:tcPr>
          <w:p w14:paraId="045D5EA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13EDF26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7D075A4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5431953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下半年</w:t>
            </w:r>
          </w:p>
        </w:tc>
        <w:tc>
          <w:tcPr>
            <w:tcW w:w="1283" w:type="dxa"/>
            <w:noWrap w:val="0"/>
            <w:vAlign w:val="center"/>
          </w:tcPr>
          <w:p w14:paraId="1D7ABB4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下半年</w:t>
            </w:r>
          </w:p>
        </w:tc>
        <w:tc>
          <w:tcPr>
            <w:tcW w:w="1408" w:type="dxa"/>
            <w:noWrap w:val="0"/>
            <w:vAlign w:val="center"/>
          </w:tcPr>
          <w:p w14:paraId="6C5A34D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100%</w:t>
            </w:r>
          </w:p>
        </w:tc>
        <w:tc>
          <w:tcPr>
            <w:tcW w:w="464" w:type="dxa"/>
            <w:noWrap w:val="0"/>
            <w:vAlign w:val="center"/>
          </w:tcPr>
          <w:p w14:paraId="73795AD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质监处</w:t>
            </w:r>
          </w:p>
        </w:tc>
        <w:tc>
          <w:tcPr>
            <w:tcW w:w="881" w:type="dxa"/>
            <w:noWrap w:val="0"/>
            <w:vAlign w:val="center"/>
          </w:tcPr>
          <w:p w14:paraId="2D0FEB1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协同检查事项相关业务部门</w:t>
            </w:r>
          </w:p>
        </w:tc>
        <w:tc>
          <w:tcPr>
            <w:tcW w:w="1500" w:type="dxa"/>
            <w:noWrap w:val="0"/>
            <w:vAlign w:val="center"/>
          </w:tcPr>
          <w:p w14:paraId="7ADE38B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平潭综合实验区市场监管局</w:t>
            </w:r>
          </w:p>
        </w:tc>
        <w:tc>
          <w:tcPr>
            <w:tcW w:w="2496" w:type="dxa"/>
            <w:noWrap w:val="0"/>
            <w:vAlign w:val="center"/>
          </w:tcPr>
          <w:p w14:paraId="46C581D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中华人民共和国工业产品生产许可证管理条例》（国务院令第440号）、《市场监管总局关于贯彻落实《国务院关于调整工业产品生产许可证管理目录加强事中事后监管的决定》有关事项的通知、《工业产品生产单位落实质量安全主体责任监督管理规定》（总局75号令）</w:t>
            </w:r>
          </w:p>
        </w:tc>
      </w:tr>
      <w:tr w14:paraId="4A53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1" w:hRule="atLeast"/>
          <w:jc w:val="center"/>
        </w:trPr>
        <w:tc>
          <w:tcPr>
            <w:tcW w:w="548" w:type="dxa"/>
            <w:noWrap w:val="0"/>
            <w:vAlign w:val="center"/>
          </w:tcPr>
          <w:p w14:paraId="4495179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11</w:t>
            </w:r>
          </w:p>
        </w:tc>
        <w:tc>
          <w:tcPr>
            <w:tcW w:w="1361" w:type="dxa"/>
            <w:noWrap w:val="0"/>
            <w:vAlign w:val="center"/>
          </w:tcPr>
          <w:p w14:paraId="183D101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食品安全监督检查</w:t>
            </w:r>
          </w:p>
        </w:tc>
        <w:tc>
          <w:tcPr>
            <w:tcW w:w="804" w:type="dxa"/>
            <w:noWrap w:val="0"/>
            <w:vAlign w:val="center"/>
          </w:tcPr>
          <w:p w14:paraId="030DCDE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w:t>
            </w:r>
          </w:p>
        </w:tc>
        <w:tc>
          <w:tcPr>
            <w:tcW w:w="1191" w:type="dxa"/>
            <w:noWrap w:val="0"/>
            <w:vAlign w:val="center"/>
          </w:tcPr>
          <w:p w14:paraId="08DABD9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食品生产经营主体</w:t>
            </w:r>
          </w:p>
        </w:tc>
        <w:tc>
          <w:tcPr>
            <w:tcW w:w="3536" w:type="dxa"/>
            <w:noWrap w:val="0"/>
            <w:vAlign w:val="center"/>
          </w:tcPr>
          <w:p w14:paraId="019066E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根据</w:t>
            </w:r>
            <w:r>
              <w:rPr>
                <w:rFonts w:hint="eastAsia" w:ascii="仿宋_GB2312" w:hAnsi="仿宋_GB2312" w:eastAsia="仿宋_GB2312" w:cs="仿宋_GB2312"/>
                <w:snapToGrid w:val="0"/>
                <w:color w:val="auto"/>
                <w:kern w:val="0"/>
                <w:sz w:val="28"/>
                <w:szCs w:val="28"/>
                <w:lang w:val="en-US" w:eastAsia="zh-CN"/>
              </w:rPr>
              <w:t>《中华人民共和国食品安全法》《中华人民共和国食品安全法实施条例》《福建省食品安全条例》《食品生产经营监督检查管理办法》《福建省食品安全信息追溯管理办法》《福建省食品安全风险分级管理工作规范》等相关法律法规和规章规定执行。详见福建省食品生产经营者日常监督检查要点表。</w:t>
            </w:r>
          </w:p>
        </w:tc>
        <w:tc>
          <w:tcPr>
            <w:tcW w:w="2603" w:type="dxa"/>
            <w:noWrap w:val="0"/>
            <w:vAlign w:val="center"/>
          </w:tcPr>
          <w:p w14:paraId="53157830">
            <w:pPr>
              <w:keepNext w:val="0"/>
              <w:keepLines w:val="0"/>
              <w:pageBreakBefore w:val="0"/>
              <w:widowControl w:val="0"/>
              <w:kinsoku/>
              <w:wordWrap/>
              <w:overflowPunct w:val="0"/>
              <w:topLinePunct w:val="0"/>
              <w:autoSpaceDE/>
              <w:autoSpaceDN/>
              <w:bidi w:val="0"/>
              <w:adjustRightInd w:val="0"/>
              <w:snapToGrid w:val="0"/>
              <w:spacing w:line="240" w:lineRule="auto"/>
              <w:jc w:val="both"/>
              <w:textAlignment w:val="auto"/>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与食品安全协同检查规则衔接</w:t>
            </w:r>
          </w:p>
        </w:tc>
        <w:tc>
          <w:tcPr>
            <w:tcW w:w="526" w:type="dxa"/>
            <w:noWrap w:val="0"/>
            <w:vAlign w:val="center"/>
          </w:tcPr>
          <w:p w14:paraId="0C96F8B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152A641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75085A3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4E3E2CE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全年</w:t>
            </w:r>
          </w:p>
        </w:tc>
        <w:tc>
          <w:tcPr>
            <w:tcW w:w="1283" w:type="dxa"/>
            <w:noWrap w:val="0"/>
            <w:vAlign w:val="center"/>
          </w:tcPr>
          <w:p w14:paraId="6942B06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4</w:t>
            </w:r>
          </w:p>
        </w:tc>
        <w:tc>
          <w:tcPr>
            <w:tcW w:w="1408" w:type="dxa"/>
            <w:noWrap w:val="0"/>
            <w:vAlign w:val="center"/>
          </w:tcPr>
          <w:p w14:paraId="1C49BA0C">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与食品安全协同检查规则衔接</w:t>
            </w:r>
          </w:p>
        </w:tc>
        <w:tc>
          <w:tcPr>
            <w:tcW w:w="464" w:type="dxa"/>
            <w:noWrap w:val="0"/>
            <w:vAlign w:val="center"/>
          </w:tcPr>
          <w:p w14:paraId="58A8945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食品处</w:t>
            </w:r>
          </w:p>
        </w:tc>
        <w:tc>
          <w:tcPr>
            <w:tcW w:w="881" w:type="dxa"/>
            <w:noWrap w:val="0"/>
            <w:vAlign w:val="center"/>
          </w:tcPr>
          <w:p w14:paraId="7B8C6CD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5F6A632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7A3664E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中华人民共和国食品安全法》《中华人民共和国食品安全法实施条例》《福建省食品安全条例》《食品生产经营监督检查管理办法》《福建省食品安全信息追溯管理办法》《福建省食品安全风险分级管理工作规范》等</w:t>
            </w:r>
          </w:p>
        </w:tc>
      </w:tr>
      <w:tr w14:paraId="782A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5" w:hRule="atLeast"/>
          <w:jc w:val="center"/>
        </w:trPr>
        <w:tc>
          <w:tcPr>
            <w:tcW w:w="548" w:type="dxa"/>
            <w:noWrap w:val="0"/>
            <w:vAlign w:val="center"/>
          </w:tcPr>
          <w:p w14:paraId="2B39F1A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12</w:t>
            </w:r>
          </w:p>
        </w:tc>
        <w:tc>
          <w:tcPr>
            <w:tcW w:w="1361" w:type="dxa"/>
            <w:noWrap w:val="0"/>
            <w:vAlign w:val="center"/>
          </w:tcPr>
          <w:p w14:paraId="1EAC6C8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在用强检计量器具检查</w:t>
            </w:r>
          </w:p>
        </w:tc>
        <w:tc>
          <w:tcPr>
            <w:tcW w:w="804" w:type="dxa"/>
            <w:noWrap w:val="0"/>
            <w:vAlign w:val="center"/>
          </w:tcPr>
          <w:p w14:paraId="0AF5892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0E593CE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使用强检计量器具的单位和个人</w:t>
            </w:r>
          </w:p>
        </w:tc>
        <w:tc>
          <w:tcPr>
            <w:tcW w:w="3536" w:type="dxa"/>
            <w:noWrap w:val="0"/>
            <w:vAlign w:val="center"/>
          </w:tcPr>
          <w:p w14:paraId="7103D315">
            <w:pPr>
              <w:keepNext w:val="0"/>
              <w:keepLines w:val="0"/>
              <w:pageBreakBefore w:val="0"/>
              <w:widowControl w:val="0"/>
              <w:numPr>
                <w:ilvl w:val="0"/>
                <w:numId w:val="1"/>
              </w:numPr>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是否有检定铅封、检定证书（强检合格标志）等；</w:t>
            </w:r>
          </w:p>
          <w:p w14:paraId="5DF82E2A">
            <w:pPr>
              <w:keepNext w:val="0"/>
              <w:keepLines w:val="0"/>
              <w:pageBreakBefore w:val="0"/>
              <w:widowControl w:val="0"/>
              <w:numPr>
                <w:ilvl w:val="0"/>
                <w:numId w:val="1"/>
              </w:numPr>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是否使用经检定不合格、超过检定周期的强检计量器具。</w:t>
            </w:r>
          </w:p>
        </w:tc>
        <w:tc>
          <w:tcPr>
            <w:tcW w:w="2603" w:type="dxa"/>
            <w:noWrap w:val="0"/>
            <w:vAlign w:val="center"/>
          </w:tcPr>
          <w:p w14:paraId="43352FD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3%</w:t>
            </w:r>
          </w:p>
        </w:tc>
        <w:tc>
          <w:tcPr>
            <w:tcW w:w="526" w:type="dxa"/>
            <w:noWrap w:val="0"/>
            <w:vAlign w:val="center"/>
          </w:tcPr>
          <w:p w14:paraId="7346C98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0E6DB3FC">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05E0F6F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7B61EB4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全年</w:t>
            </w:r>
          </w:p>
        </w:tc>
        <w:tc>
          <w:tcPr>
            <w:tcW w:w="1283" w:type="dxa"/>
            <w:noWrap w:val="0"/>
            <w:vAlign w:val="center"/>
          </w:tcPr>
          <w:p w14:paraId="0A57930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eastAsia="zh-CN"/>
              </w:rPr>
            </w:pPr>
            <w:r>
              <w:rPr>
                <w:rFonts w:hint="eastAsia" w:ascii="仿宋_GB2312" w:hAnsi="仿宋_GB2312" w:eastAsia="仿宋_GB2312" w:cs="仿宋_GB2312"/>
                <w:snapToGrid w:val="0"/>
                <w:color w:val="auto"/>
                <w:kern w:val="0"/>
                <w:sz w:val="28"/>
                <w:szCs w:val="28"/>
                <w:lang w:eastAsia="zh-CN"/>
              </w:rPr>
              <w:t>上、下半年</w:t>
            </w:r>
          </w:p>
        </w:tc>
        <w:tc>
          <w:tcPr>
            <w:tcW w:w="1408" w:type="dxa"/>
            <w:noWrap w:val="0"/>
            <w:vAlign w:val="center"/>
          </w:tcPr>
          <w:p w14:paraId="4A609CD7">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各1.5%</w:t>
            </w:r>
          </w:p>
        </w:tc>
        <w:tc>
          <w:tcPr>
            <w:tcW w:w="464" w:type="dxa"/>
            <w:noWrap w:val="0"/>
            <w:vAlign w:val="center"/>
          </w:tcPr>
          <w:p w14:paraId="3F48C36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质监处</w:t>
            </w:r>
          </w:p>
        </w:tc>
        <w:tc>
          <w:tcPr>
            <w:tcW w:w="881" w:type="dxa"/>
            <w:noWrap w:val="0"/>
            <w:vAlign w:val="center"/>
          </w:tcPr>
          <w:p w14:paraId="405C0E3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710B807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rPr>
              <w:t>平潭综合实验区市场监管局</w:t>
            </w:r>
          </w:p>
        </w:tc>
        <w:tc>
          <w:tcPr>
            <w:tcW w:w="2496" w:type="dxa"/>
            <w:noWrap w:val="0"/>
            <w:vAlign w:val="center"/>
          </w:tcPr>
          <w:p w14:paraId="031FCBC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《计量法》《计量法实施细则》</w:t>
            </w:r>
          </w:p>
        </w:tc>
      </w:tr>
      <w:tr w14:paraId="6A69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jc w:val="center"/>
        </w:trPr>
        <w:tc>
          <w:tcPr>
            <w:tcW w:w="548" w:type="dxa"/>
            <w:noWrap w:val="0"/>
            <w:vAlign w:val="center"/>
          </w:tcPr>
          <w:p w14:paraId="4993D03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13</w:t>
            </w:r>
          </w:p>
        </w:tc>
        <w:tc>
          <w:tcPr>
            <w:tcW w:w="1361" w:type="dxa"/>
            <w:noWrap w:val="0"/>
            <w:vAlign w:val="center"/>
          </w:tcPr>
          <w:p w14:paraId="3852650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地理标志专用标志使用行为抽查</w:t>
            </w:r>
          </w:p>
        </w:tc>
        <w:tc>
          <w:tcPr>
            <w:tcW w:w="804" w:type="dxa"/>
            <w:noWrap w:val="0"/>
            <w:vAlign w:val="center"/>
          </w:tcPr>
          <w:p w14:paraId="4D149BF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日常检查、专项检查</w:t>
            </w:r>
          </w:p>
        </w:tc>
        <w:tc>
          <w:tcPr>
            <w:tcW w:w="1191" w:type="dxa"/>
            <w:noWrap w:val="0"/>
            <w:vAlign w:val="center"/>
          </w:tcPr>
          <w:p w14:paraId="7B05ABA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地理标志专用标志合法使用经营主体</w:t>
            </w:r>
          </w:p>
        </w:tc>
        <w:tc>
          <w:tcPr>
            <w:tcW w:w="3536" w:type="dxa"/>
            <w:noWrap w:val="0"/>
            <w:vAlign w:val="center"/>
          </w:tcPr>
          <w:p w14:paraId="1D7F748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是否建立地理标志专用标志使用管理台账，对专用标志印刷、发放、使用情况及时登记备案；2.是否按照相关标准、管理规范和使用管理规则组织生产地理标志产品；3.是否按照地理标志专用标志的使用要求，规范标示地理标志专用标志；4.是否2年内未在地理标志产品上使用专用标志。</w:t>
            </w:r>
          </w:p>
        </w:tc>
        <w:tc>
          <w:tcPr>
            <w:tcW w:w="2603" w:type="dxa"/>
            <w:noWrap w:val="0"/>
            <w:vAlign w:val="center"/>
          </w:tcPr>
          <w:p w14:paraId="24E95ED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全区地理标志专用标志合法使用经营主体的5%</w:t>
            </w:r>
          </w:p>
        </w:tc>
        <w:tc>
          <w:tcPr>
            <w:tcW w:w="526" w:type="dxa"/>
            <w:noWrap w:val="0"/>
            <w:vAlign w:val="center"/>
          </w:tcPr>
          <w:p w14:paraId="275BB51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现场检查</w:t>
            </w:r>
          </w:p>
        </w:tc>
        <w:tc>
          <w:tcPr>
            <w:tcW w:w="994" w:type="dxa"/>
            <w:noWrap w:val="0"/>
            <w:vAlign w:val="center"/>
          </w:tcPr>
          <w:p w14:paraId="1E77DDA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全区</w:t>
            </w:r>
          </w:p>
        </w:tc>
        <w:tc>
          <w:tcPr>
            <w:tcW w:w="586" w:type="dxa"/>
            <w:noWrap w:val="0"/>
            <w:vAlign w:val="center"/>
          </w:tcPr>
          <w:p w14:paraId="1DE83C0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否</w:t>
            </w:r>
          </w:p>
        </w:tc>
        <w:tc>
          <w:tcPr>
            <w:tcW w:w="1234" w:type="dxa"/>
            <w:noWrap w:val="0"/>
            <w:vAlign w:val="center"/>
          </w:tcPr>
          <w:p w14:paraId="4D2B708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9月底前</w:t>
            </w:r>
          </w:p>
        </w:tc>
        <w:tc>
          <w:tcPr>
            <w:tcW w:w="1283" w:type="dxa"/>
            <w:noWrap w:val="0"/>
            <w:vAlign w:val="center"/>
          </w:tcPr>
          <w:p w14:paraId="607ED520">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下半年</w:t>
            </w:r>
          </w:p>
        </w:tc>
        <w:tc>
          <w:tcPr>
            <w:tcW w:w="1408" w:type="dxa"/>
            <w:noWrap w:val="0"/>
            <w:vAlign w:val="center"/>
          </w:tcPr>
          <w:p w14:paraId="7E32234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5%</w:t>
            </w:r>
          </w:p>
        </w:tc>
        <w:tc>
          <w:tcPr>
            <w:tcW w:w="464" w:type="dxa"/>
            <w:noWrap w:val="0"/>
            <w:vAlign w:val="center"/>
          </w:tcPr>
          <w:p w14:paraId="397F0AA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知识产权处</w:t>
            </w:r>
          </w:p>
        </w:tc>
        <w:tc>
          <w:tcPr>
            <w:tcW w:w="881" w:type="dxa"/>
            <w:noWrap w:val="0"/>
            <w:vAlign w:val="center"/>
          </w:tcPr>
          <w:p w14:paraId="063281B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127BBDEE">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平潭综合实验区市场监管局</w:t>
            </w:r>
          </w:p>
        </w:tc>
        <w:tc>
          <w:tcPr>
            <w:tcW w:w="2496" w:type="dxa"/>
            <w:noWrap w:val="0"/>
            <w:vAlign w:val="center"/>
          </w:tcPr>
          <w:p w14:paraId="519EF5A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《中华人民共和国商标法》《中华人民共和国商标法实施条例》《地理标志产品保护规定》《集体商标、证明商标注册和管理办法》《国外地理标志产品保护办法》《地理标志专用标志使用管理办法（试行）》等</w:t>
            </w:r>
          </w:p>
        </w:tc>
      </w:tr>
      <w:tr w14:paraId="4560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jc w:val="center"/>
        </w:trPr>
        <w:tc>
          <w:tcPr>
            <w:tcW w:w="548" w:type="dxa"/>
            <w:noWrap w:val="0"/>
            <w:vAlign w:val="center"/>
          </w:tcPr>
          <w:p w14:paraId="1839F39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14</w:t>
            </w:r>
          </w:p>
        </w:tc>
        <w:tc>
          <w:tcPr>
            <w:tcW w:w="1361" w:type="dxa"/>
            <w:noWrap w:val="0"/>
            <w:vAlign w:val="center"/>
          </w:tcPr>
          <w:p w14:paraId="4C409D9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i w:val="0"/>
                <w:snapToGrid w:val="0"/>
                <w:color w:val="auto"/>
                <w:kern w:val="0"/>
                <w:sz w:val="28"/>
                <w:szCs w:val="28"/>
                <w:u w:val="none"/>
                <w:lang w:val="en-US" w:eastAsia="zh-CN" w:bidi="ar"/>
              </w:rPr>
              <w:t>商标代理行为抽查</w:t>
            </w:r>
          </w:p>
        </w:tc>
        <w:tc>
          <w:tcPr>
            <w:tcW w:w="804" w:type="dxa"/>
            <w:noWrap w:val="0"/>
            <w:vAlign w:val="center"/>
          </w:tcPr>
          <w:p w14:paraId="468729C4">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7398989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i w:val="0"/>
                <w:snapToGrid w:val="0"/>
                <w:color w:val="auto"/>
                <w:kern w:val="0"/>
                <w:sz w:val="28"/>
                <w:szCs w:val="28"/>
                <w:u w:val="none"/>
                <w:lang w:val="en-US" w:eastAsia="zh-CN" w:bidi="ar"/>
              </w:rPr>
              <w:t xml:space="preserve">经国家知识产权局商标局备案的商标代理机构 </w:t>
            </w:r>
          </w:p>
        </w:tc>
        <w:tc>
          <w:tcPr>
            <w:tcW w:w="3536" w:type="dxa"/>
            <w:noWrap w:val="0"/>
            <w:vAlign w:val="center"/>
          </w:tcPr>
          <w:p w14:paraId="71BB605F">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查阅商标代理委托书及相应的商标受理通知书,是否超过委托范围或未经委托代理商标注册等违法行为。2.检查是否存在以诋毁其他商标代理机构等手段招徕商标代理业务或者以其他不正当手段扰乱商标代理市场秩序等违法行为。</w:t>
            </w:r>
          </w:p>
        </w:tc>
        <w:tc>
          <w:tcPr>
            <w:tcW w:w="2603" w:type="dxa"/>
            <w:noWrap w:val="0"/>
            <w:vAlign w:val="center"/>
          </w:tcPr>
          <w:p w14:paraId="2930BB0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i w:val="0"/>
                <w:snapToGrid w:val="0"/>
                <w:color w:val="auto"/>
                <w:kern w:val="0"/>
                <w:sz w:val="28"/>
                <w:szCs w:val="28"/>
                <w:u w:val="none"/>
                <w:lang w:val="en-US" w:eastAsia="zh-CN" w:bidi="ar"/>
              </w:rPr>
              <w:t>全区经国家知识产权局商标局备案的商标代理机构的5%</w:t>
            </w:r>
          </w:p>
        </w:tc>
        <w:tc>
          <w:tcPr>
            <w:tcW w:w="526" w:type="dxa"/>
            <w:noWrap w:val="0"/>
            <w:vAlign w:val="center"/>
          </w:tcPr>
          <w:p w14:paraId="6C1B305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3A079DB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53194C22">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否</w:t>
            </w:r>
          </w:p>
        </w:tc>
        <w:tc>
          <w:tcPr>
            <w:tcW w:w="1234" w:type="dxa"/>
            <w:noWrap w:val="0"/>
            <w:vAlign w:val="center"/>
          </w:tcPr>
          <w:p w14:paraId="0C404B3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9月底前</w:t>
            </w:r>
          </w:p>
        </w:tc>
        <w:tc>
          <w:tcPr>
            <w:tcW w:w="1283" w:type="dxa"/>
            <w:noWrap w:val="0"/>
            <w:vAlign w:val="center"/>
          </w:tcPr>
          <w:p w14:paraId="195E7031">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下半年</w:t>
            </w:r>
          </w:p>
        </w:tc>
        <w:tc>
          <w:tcPr>
            <w:tcW w:w="1408" w:type="dxa"/>
            <w:noWrap w:val="0"/>
            <w:vAlign w:val="center"/>
          </w:tcPr>
          <w:p w14:paraId="335ACC9B">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5%</w:t>
            </w:r>
          </w:p>
        </w:tc>
        <w:tc>
          <w:tcPr>
            <w:tcW w:w="464" w:type="dxa"/>
            <w:noWrap w:val="0"/>
            <w:vAlign w:val="center"/>
          </w:tcPr>
          <w:p w14:paraId="4A65A46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知识产权处</w:t>
            </w:r>
          </w:p>
        </w:tc>
        <w:tc>
          <w:tcPr>
            <w:tcW w:w="881" w:type="dxa"/>
            <w:noWrap w:val="0"/>
            <w:vAlign w:val="center"/>
          </w:tcPr>
          <w:p w14:paraId="1BFB7DF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p>
        </w:tc>
        <w:tc>
          <w:tcPr>
            <w:tcW w:w="1500" w:type="dxa"/>
            <w:noWrap w:val="0"/>
            <w:vAlign w:val="center"/>
          </w:tcPr>
          <w:p w14:paraId="2AF83D87">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snapToGrid w:val="0"/>
                <w:color w:val="auto"/>
                <w:kern w:val="0"/>
                <w:sz w:val="28"/>
                <w:szCs w:val="28"/>
                <w:vertAlign w:val="baseline"/>
                <w:lang w:val="en-US" w:eastAsia="zh-CN"/>
              </w:rPr>
              <w:t>平潭综合实验区市场监管局</w:t>
            </w:r>
          </w:p>
        </w:tc>
        <w:tc>
          <w:tcPr>
            <w:tcW w:w="2496" w:type="dxa"/>
            <w:noWrap w:val="0"/>
            <w:vAlign w:val="center"/>
          </w:tcPr>
          <w:p w14:paraId="29403CC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宋体"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《中华人民共和国商标法》、《中华人民共和国商标法实施条例》、《商标代理监督管理规定》等</w:t>
            </w:r>
          </w:p>
        </w:tc>
      </w:tr>
      <w:tr w14:paraId="1C47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1" w:hRule="atLeast"/>
          <w:jc w:val="center"/>
        </w:trPr>
        <w:tc>
          <w:tcPr>
            <w:tcW w:w="548" w:type="dxa"/>
            <w:noWrap w:val="0"/>
            <w:vAlign w:val="center"/>
          </w:tcPr>
          <w:p w14:paraId="3F25A71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17</w:t>
            </w:r>
          </w:p>
        </w:tc>
        <w:tc>
          <w:tcPr>
            <w:tcW w:w="1361" w:type="dxa"/>
            <w:noWrap w:val="0"/>
            <w:vAlign w:val="center"/>
          </w:tcPr>
          <w:p w14:paraId="342DB4A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i w:val="0"/>
                <w:snapToGrid w:val="0"/>
                <w:color w:val="auto"/>
                <w:kern w:val="0"/>
                <w:sz w:val="28"/>
                <w:szCs w:val="28"/>
                <w:u w:val="none"/>
                <w:lang w:val="en-US" w:eastAsia="zh-CN" w:bidi="ar"/>
              </w:rPr>
            </w:pPr>
            <w:r>
              <w:rPr>
                <w:rFonts w:hint="eastAsia" w:ascii="仿宋_GB2312" w:hAnsi="仿宋_GB2312" w:eastAsia="仿宋_GB2312" w:cs="仿宋_GB2312"/>
                <w:i w:val="0"/>
                <w:snapToGrid w:val="0"/>
                <w:color w:val="auto"/>
                <w:kern w:val="0"/>
                <w:sz w:val="28"/>
                <w:szCs w:val="28"/>
                <w:u w:val="none"/>
                <w:lang w:val="en-US" w:eastAsia="zh-CN" w:bidi="ar"/>
              </w:rPr>
              <w:t>化妆品质量日常监管</w:t>
            </w:r>
          </w:p>
        </w:tc>
        <w:tc>
          <w:tcPr>
            <w:tcW w:w="804" w:type="dxa"/>
            <w:noWrap w:val="0"/>
            <w:vAlign w:val="center"/>
          </w:tcPr>
          <w:p w14:paraId="5FEA225D">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日常检查、专项检查</w:t>
            </w:r>
          </w:p>
        </w:tc>
        <w:tc>
          <w:tcPr>
            <w:tcW w:w="1191" w:type="dxa"/>
            <w:noWrap w:val="0"/>
            <w:vAlign w:val="center"/>
          </w:tcPr>
          <w:p w14:paraId="3EA1D708">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left"/>
              <w:textAlignment w:val="auto"/>
              <w:outlineLvl w:val="9"/>
              <w:rPr>
                <w:rFonts w:hint="default" w:ascii="仿宋_GB2312" w:hAnsi="仿宋_GB2312" w:eastAsia="仿宋_GB2312" w:cs="仿宋_GB2312"/>
                <w:i w:val="0"/>
                <w:snapToGrid w:val="0"/>
                <w:color w:val="auto"/>
                <w:kern w:val="0"/>
                <w:sz w:val="28"/>
                <w:szCs w:val="28"/>
                <w:u w:val="none"/>
                <w:lang w:val="en-US" w:eastAsia="zh-CN" w:bidi="ar"/>
              </w:rPr>
            </w:pPr>
            <w:r>
              <w:rPr>
                <w:rFonts w:hint="eastAsia" w:ascii="仿宋_GB2312" w:hAnsi="仿宋_GB2312" w:eastAsia="仿宋_GB2312" w:cs="仿宋_GB2312"/>
                <w:i w:val="0"/>
                <w:snapToGrid w:val="0"/>
                <w:color w:val="auto"/>
                <w:kern w:val="0"/>
                <w:sz w:val="28"/>
                <w:szCs w:val="28"/>
                <w:u w:val="none"/>
                <w:lang w:val="en-US" w:eastAsia="zh-CN" w:bidi="ar"/>
              </w:rPr>
              <w:t>化妆品经营主体</w:t>
            </w:r>
          </w:p>
        </w:tc>
        <w:tc>
          <w:tcPr>
            <w:tcW w:w="3536" w:type="dxa"/>
            <w:noWrap w:val="0"/>
            <w:vAlign w:val="center"/>
          </w:tcPr>
          <w:p w14:paraId="21CF8179">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1。化妆品的最小销售单元应当有标签。标签应当符合相关法律、行政法规、强制性国家标准，内容真实、完整、准确。</w:t>
            </w:r>
          </w:p>
          <w:p w14:paraId="5CE369D2">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2.化妆品经营者应当建立并执行进货查验记录制度，查验供货者的市场主体登记证明、化妆品注册或者备案情况、产品出厂检验合格证明，如实记录并保存相关凭证。</w:t>
            </w:r>
          </w:p>
          <w:p w14:paraId="40BB7FDA">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3.化妆品经营者不得自行配制化妆品。</w:t>
            </w:r>
          </w:p>
          <w:p w14:paraId="37F8BD66">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4.化妆品生产经营者应当依照有关法律、法规的规定和化妆品标签标示的要求贮存、运输化妆品，定期检查并及时处理变质或者超过使用期限的化妆品。</w:t>
            </w:r>
          </w:p>
          <w:p w14:paraId="0256E2B0">
            <w:pPr>
              <w:keepNext w:val="0"/>
              <w:keepLines w:val="0"/>
              <w:pageBreakBefore w:val="0"/>
              <w:widowControl w:val="0"/>
              <w:numPr>
                <w:ilvl w:val="0"/>
                <w:numId w:val="0"/>
              </w:numPr>
              <w:kinsoku/>
              <w:wordWrap/>
              <w:overflowPunct w:val="0"/>
              <w:topLinePunct w:val="0"/>
              <w:autoSpaceDE/>
              <w:autoSpaceDN/>
              <w:bidi w:val="0"/>
              <w:adjustRightInd w:val="0"/>
              <w:snapToGrid w:val="0"/>
              <w:spacing w:line="240" w:lineRule="auto"/>
              <w:ind w:leftChars="0" w:right="0" w:rightChars="0"/>
              <w:jc w:val="left"/>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5.美容美发机构、宾馆等在经营中使用化妆品或者为消费者提供化妆品的，应当履行上述法定的义务。</w:t>
            </w:r>
          </w:p>
        </w:tc>
        <w:tc>
          <w:tcPr>
            <w:tcW w:w="2603" w:type="dxa"/>
            <w:noWrap w:val="0"/>
            <w:vAlign w:val="center"/>
          </w:tcPr>
          <w:p w14:paraId="1750DC19">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default" w:ascii="仿宋_GB2312" w:hAnsi="仿宋_GB2312" w:eastAsia="仿宋_GB2312" w:cs="仿宋_GB2312"/>
                <w:i w:val="0"/>
                <w:snapToGrid w:val="0"/>
                <w:color w:val="auto"/>
                <w:kern w:val="0"/>
                <w:sz w:val="28"/>
                <w:szCs w:val="28"/>
                <w:u w:val="none"/>
                <w:lang w:val="en-US" w:eastAsia="zh-CN" w:bidi="ar"/>
              </w:rPr>
            </w:pPr>
            <w:r>
              <w:rPr>
                <w:rFonts w:hint="eastAsia" w:ascii="仿宋_GB2312" w:hAnsi="仿宋_GB2312" w:eastAsia="仿宋_GB2312" w:cs="仿宋_GB2312"/>
                <w:i w:val="0"/>
                <w:snapToGrid w:val="0"/>
                <w:color w:val="auto"/>
                <w:kern w:val="0"/>
                <w:sz w:val="28"/>
                <w:szCs w:val="28"/>
                <w:u w:val="none"/>
                <w:lang w:val="en-US" w:eastAsia="zh-CN" w:bidi="ar"/>
              </w:rPr>
              <w:t>化妆品经营主体</w:t>
            </w:r>
            <w:bookmarkStart w:id="0" w:name="_GoBack"/>
            <w:bookmarkEnd w:id="0"/>
            <w:r>
              <w:rPr>
                <w:rFonts w:hint="eastAsia" w:ascii="仿宋_GB2312" w:hAnsi="仿宋_GB2312" w:eastAsia="仿宋_GB2312" w:cs="仿宋_GB2312"/>
                <w:i w:val="0"/>
                <w:snapToGrid w:val="0"/>
                <w:color w:val="auto"/>
                <w:kern w:val="0"/>
                <w:sz w:val="28"/>
                <w:szCs w:val="28"/>
                <w:u w:val="none"/>
                <w:lang w:val="en-US" w:eastAsia="zh-CN" w:bidi="ar"/>
              </w:rPr>
              <w:t>的3%</w:t>
            </w:r>
          </w:p>
        </w:tc>
        <w:tc>
          <w:tcPr>
            <w:tcW w:w="526" w:type="dxa"/>
            <w:noWrap w:val="0"/>
            <w:vAlign w:val="center"/>
          </w:tcPr>
          <w:p w14:paraId="3209484A">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现场检查</w:t>
            </w:r>
          </w:p>
        </w:tc>
        <w:tc>
          <w:tcPr>
            <w:tcW w:w="994" w:type="dxa"/>
            <w:noWrap w:val="0"/>
            <w:vAlign w:val="center"/>
          </w:tcPr>
          <w:p w14:paraId="08449CB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全区</w:t>
            </w:r>
          </w:p>
        </w:tc>
        <w:tc>
          <w:tcPr>
            <w:tcW w:w="586" w:type="dxa"/>
            <w:noWrap w:val="0"/>
            <w:vAlign w:val="center"/>
          </w:tcPr>
          <w:p w14:paraId="5CC87651">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是</w:t>
            </w:r>
          </w:p>
        </w:tc>
        <w:tc>
          <w:tcPr>
            <w:tcW w:w="1234" w:type="dxa"/>
            <w:noWrap w:val="0"/>
            <w:vAlign w:val="center"/>
          </w:tcPr>
          <w:p w14:paraId="2E93B565">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全年</w:t>
            </w:r>
          </w:p>
        </w:tc>
        <w:tc>
          <w:tcPr>
            <w:tcW w:w="1283" w:type="dxa"/>
            <w:noWrap w:val="0"/>
            <w:vAlign w:val="center"/>
          </w:tcPr>
          <w:p w14:paraId="4AABD773">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上、下半年</w:t>
            </w:r>
          </w:p>
        </w:tc>
        <w:tc>
          <w:tcPr>
            <w:tcW w:w="1408" w:type="dxa"/>
            <w:noWrap w:val="0"/>
            <w:vAlign w:val="center"/>
          </w:tcPr>
          <w:p w14:paraId="3C077C89">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0" w:leftChars="0" w:right="0" w:rightChars="0" w:firstLine="0" w:firstLineChars="0"/>
              <w:jc w:val="center"/>
              <w:textAlignment w:val="auto"/>
              <w:outlineLvl w:val="9"/>
              <w:rPr>
                <w:rFonts w:hint="default" w:ascii="仿宋_GB2312" w:hAnsi="仿宋_GB2312" w:eastAsia="仿宋_GB2312" w:cs="仿宋_GB2312"/>
                <w:i w:val="0"/>
                <w:snapToGrid w:val="0"/>
                <w:color w:val="auto"/>
                <w:kern w:val="0"/>
                <w:sz w:val="28"/>
                <w:szCs w:val="28"/>
                <w:u w:val="none"/>
                <w:lang w:val="en-US" w:eastAsia="zh-CN"/>
              </w:rPr>
            </w:pPr>
            <w:r>
              <w:rPr>
                <w:rFonts w:hint="eastAsia" w:ascii="仿宋_GB2312" w:hAnsi="仿宋_GB2312" w:eastAsia="仿宋_GB2312" w:cs="仿宋_GB2312"/>
                <w:i w:val="0"/>
                <w:snapToGrid w:val="0"/>
                <w:color w:val="auto"/>
                <w:kern w:val="0"/>
                <w:sz w:val="28"/>
                <w:szCs w:val="28"/>
                <w:u w:val="none"/>
                <w:lang w:val="en-US" w:eastAsia="zh-CN"/>
              </w:rPr>
              <w:t>1.5%</w:t>
            </w:r>
          </w:p>
        </w:tc>
        <w:tc>
          <w:tcPr>
            <w:tcW w:w="464" w:type="dxa"/>
            <w:noWrap w:val="0"/>
            <w:vAlign w:val="center"/>
          </w:tcPr>
          <w:p w14:paraId="59FB3C1B">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lang w:val="en-US" w:eastAsia="zh-CN"/>
              </w:rPr>
            </w:pPr>
            <w:r>
              <w:rPr>
                <w:rFonts w:hint="eastAsia" w:ascii="仿宋_GB2312" w:hAnsi="仿宋_GB2312" w:eastAsia="仿宋_GB2312" w:cs="仿宋_GB2312"/>
                <w:snapToGrid w:val="0"/>
                <w:color w:val="auto"/>
                <w:kern w:val="0"/>
                <w:sz w:val="28"/>
                <w:szCs w:val="28"/>
                <w:lang w:val="en-US" w:eastAsia="zh-CN"/>
              </w:rPr>
              <w:t>药械处</w:t>
            </w:r>
          </w:p>
        </w:tc>
        <w:tc>
          <w:tcPr>
            <w:tcW w:w="881" w:type="dxa"/>
            <w:noWrap w:val="0"/>
            <w:vAlign w:val="center"/>
          </w:tcPr>
          <w:p w14:paraId="474B5DCF">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协同检查事项相关业务部门</w:t>
            </w:r>
            <w:r>
              <w:rPr>
                <w:rFonts w:hint="eastAsia" w:ascii="仿宋_GB2312" w:hAnsi="仿宋_GB2312" w:eastAsia="仿宋_GB2312" w:cs="仿宋_GB2312"/>
                <w:snapToGrid w:val="0"/>
                <w:color w:val="auto"/>
                <w:kern w:val="0"/>
                <w:sz w:val="28"/>
                <w:szCs w:val="28"/>
                <w:vertAlign w:val="baseline"/>
                <w:lang w:val="en-US" w:eastAsia="zh-CN"/>
              </w:rPr>
              <w:tab/>
            </w:r>
          </w:p>
        </w:tc>
        <w:tc>
          <w:tcPr>
            <w:tcW w:w="1500" w:type="dxa"/>
            <w:noWrap w:val="0"/>
            <w:vAlign w:val="center"/>
          </w:tcPr>
          <w:p w14:paraId="7A381F16">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平潭综合实验区市场监管局</w:t>
            </w:r>
          </w:p>
        </w:tc>
        <w:tc>
          <w:tcPr>
            <w:tcW w:w="2496" w:type="dxa"/>
            <w:noWrap w:val="0"/>
            <w:vAlign w:val="center"/>
          </w:tcPr>
          <w:p w14:paraId="5B025DF3">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textAlignment w:val="auto"/>
              <w:outlineLvl w:val="9"/>
              <w:rPr>
                <w:rFonts w:hint="eastAsia" w:ascii="仿宋_GB2312" w:hAnsi="仿宋_GB2312" w:eastAsia="仿宋_GB2312" w:cs="仿宋_GB2312"/>
                <w:snapToGrid w:val="0"/>
                <w:color w:val="auto"/>
                <w:kern w:val="0"/>
                <w:sz w:val="28"/>
                <w:szCs w:val="28"/>
                <w:vertAlign w:val="baseline"/>
                <w:lang w:val="en-US" w:eastAsia="zh-CN"/>
              </w:rPr>
            </w:pPr>
            <w:r>
              <w:rPr>
                <w:rFonts w:hint="eastAsia" w:ascii="仿宋_GB2312" w:hAnsi="仿宋_GB2312" w:eastAsia="仿宋_GB2312" w:cs="仿宋_GB2312"/>
                <w:snapToGrid w:val="0"/>
                <w:color w:val="auto"/>
                <w:kern w:val="0"/>
                <w:sz w:val="28"/>
                <w:szCs w:val="28"/>
                <w:vertAlign w:val="baseline"/>
                <w:lang w:val="en-US" w:eastAsia="zh-CN"/>
              </w:rPr>
              <w:t>《化妆品监督管理条例》等</w:t>
            </w:r>
          </w:p>
        </w:tc>
      </w:tr>
    </w:tbl>
    <w:p w14:paraId="77497955">
      <w:pPr>
        <w:keepNext w:val="0"/>
        <w:keepLines w:val="0"/>
        <w:pageBreakBefore w:val="0"/>
        <w:widowControl w:val="0"/>
        <w:kinsoku/>
        <w:wordWrap/>
        <w:overflowPunct w:val="0"/>
        <w:topLinePunct w:val="0"/>
        <w:autoSpaceDE/>
        <w:autoSpaceDN/>
        <w:bidi w:val="0"/>
        <w:adjustRightInd w:val="0"/>
        <w:snapToGrid w:val="0"/>
        <w:spacing w:line="560" w:lineRule="exact"/>
        <w:ind w:left="0" w:leftChars="0"/>
        <w:textAlignment w:val="auto"/>
        <w:rPr>
          <w:rFonts w:hint="eastAsia" w:ascii="楷体_GB2312" w:hAnsi="楷体_GB2312" w:eastAsia="楷体_GB2312" w:cs="楷体_GB2312"/>
          <w:sz w:val="28"/>
          <w:szCs w:val="28"/>
          <w:lang w:eastAsia="zh-CN"/>
        </w:rPr>
      </w:pPr>
      <w:r>
        <w:rPr>
          <w:rFonts w:hint="eastAsia" w:ascii="楷体_GB2312" w:hAnsi="楷体_GB2312" w:eastAsia="楷体_GB2312" w:cs="楷体_GB2312"/>
          <w:sz w:val="28"/>
          <w:szCs w:val="28"/>
          <w:lang w:eastAsia="zh-CN"/>
        </w:rPr>
        <w:t>注：1.检查类型包括日常检查和专项检查、有因检查、飞行检查、体系检查。</w:t>
      </w:r>
    </w:p>
    <w:p w14:paraId="6D3FB1E0">
      <w:pPr>
        <w:keepNext w:val="0"/>
        <w:keepLines w:val="0"/>
        <w:pageBreakBefore w:val="0"/>
        <w:widowControl w:val="0"/>
        <w:kinsoku/>
        <w:wordWrap/>
        <w:overflowPunct w:val="0"/>
        <w:topLinePunct w:val="0"/>
        <w:autoSpaceDE/>
        <w:autoSpaceDN/>
        <w:bidi w:val="0"/>
        <w:adjustRightInd w:val="0"/>
        <w:snapToGrid w:val="0"/>
        <w:spacing w:line="560" w:lineRule="exact"/>
        <w:ind w:left="0" w:leftChars="0" w:firstLine="560" w:firstLineChars="200"/>
        <w:textAlignment w:val="auto"/>
        <w:rPr>
          <w:rFonts w:hint="eastAsia" w:ascii="楷体_GB2312" w:hAnsi="楷体_GB2312" w:eastAsia="楷体_GB2312" w:cs="楷体_GB2312"/>
          <w:sz w:val="28"/>
          <w:szCs w:val="28"/>
          <w:lang w:eastAsia="zh-CN"/>
        </w:rPr>
      </w:pPr>
      <w:r>
        <w:rPr>
          <w:rFonts w:hint="eastAsia" w:ascii="楷体_GB2312" w:hAnsi="楷体_GB2312" w:eastAsia="楷体_GB2312" w:cs="楷体_GB2312"/>
          <w:sz w:val="28"/>
          <w:szCs w:val="28"/>
          <w:lang w:eastAsia="zh-CN"/>
        </w:rPr>
        <w:t>2.抽查比例优先保证完成国家明确的每年度必须完成的重点监管或专项抽查监管任务，在此基础上对经测算本</w:t>
      </w:r>
      <w:r>
        <w:rPr>
          <w:rFonts w:hint="eastAsia" w:ascii="楷体_GB2312" w:hAnsi="楷体_GB2312" w:eastAsia="楷体_GB2312" w:cs="楷体_GB2312"/>
          <w:sz w:val="28"/>
          <w:szCs w:val="28"/>
          <w:lang w:val="en-US" w:eastAsia="zh-CN"/>
        </w:rPr>
        <w:t>部门</w:t>
      </w:r>
      <w:r>
        <w:rPr>
          <w:rFonts w:hint="eastAsia" w:ascii="楷体_GB2312" w:hAnsi="楷体_GB2312" w:eastAsia="楷体_GB2312" w:cs="楷体_GB2312"/>
          <w:sz w:val="28"/>
          <w:szCs w:val="28"/>
          <w:lang w:eastAsia="zh-CN"/>
        </w:rPr>
        <w:t>仍未完成信用监管抽查比例任务的，可同步按不足部分随机抽取检查对象，对重点监管任务实行协同检查的对象数量比例可根据工作实际确定。</w:t>
      </w:r>
    </w:p>
    <w:p w14:paraId="1142376C">
      <w:pPr>
        <w:keepNext w:val="0"/>
        <w:keepLines w:val="0"/>
        <w:pageBreakBefore w:val="0"/>
        <w:widowControl w:val="0"/>
        <w:kinsoku/>
        <w:wordWrap/>
        <w:overflowPunct w:val="0"/>
        <w:topLinePunct w:val="0"/>
        <w:autoSpaceDE/>
        <w:autoSpaceDN/>
        <w:bidi w:val="0"/>
        <w:adjustRightInd w:val="0"/>
        <w:snapToGrid w:val="0"/>
        <w:spacing w:line="560" w:lineRule="exact"/>
        <w:ind w:left="279" w:leftChars="133" w:firstLine="280" w:firstLineChars="100"/>
        <w:textAlignment w:val="auto"/>
      </w:pPr>
      <w:r>
        <w:rPr>
          <w:rFonts w:hint="eastAsia" w:ascii="楷体_GB2312" w:hAnsi="楷体_GB2312" w:eastAsia="楷体_GB2312" w:cs="楷体_GB2312"/>
          <w:sz w:val="28"/>
          <w:szCs w:val="28"/>
          <w:lang w:eastAsia="zh-CN"/>
        </w:rPr>
        <w:t>3.每年应完成的信用监管业务领域</w:t>
      </w:r>
      <w:r>
        <w:rPr>
          <w:rFonts w:hint="eastAsia" w:ascii="楷体_GB2312" w:hAnsi="楷体_GB2312" w:eastAsia="楷体_GB2312" w:cs="楷体_GB2312"/>
          <w:sz w:val="28"/>
          <w:szCs w:val="28"/>
          <w:lang w:eastAsia="zh"/>
        </w:rPr>
        <w:t>不低于前一年度企业总户数的</w:t>
      </w:r>
      <w:r>
        <w:rPr>
          <w:rFonts w:hint="eastAsia" w:ascii="楷体_GB2312" w:hAnsi="楷体_GB2312" w:eastAsia="楷体_GB2312" w:cs="楷体_GB2312"/>
          <w:sz w:val="28"/>
          <w:szCs w:val="28"/>
          <w:lang w:eastAsia="zh-CN"/>
        </w:rPr>
        <w:t>3%的“双随机、一公开”抽查</w:t>
      </w:r>
      <w:r>
        <w:rPr>
          <w:rFonts w:hint="eastAsia" w:ascii="楷体_GB2312" w:hAnsi="楷体_GB2312" w:eastAsia="楷体_GB2312" w:cs="楷体_GB2312"/>
          <w:sz w:val="28"/>
          <w:szCs w:val="28"/>
          <w:lang w:eastAsia="zh"/>
        </w:rPr>
        <w:t>任务</w:t>
      </w:r>
      <w:r>
        <w:rPr>
          <w:rFonts w:hint="eastAsia" w:ascii="楷体_GB2312" w:hAnsi="楷体_GB2312" w:eastAsia="楷体_GB2312" w:cs="楷体_GB2312"/>
          <w:sz w:val="28"/>
          <w:szCs w:val="28"/>
          <w:lang w:eastAsia="zh-CN"/>
        </w:rPr>
        <w:t>数量，可以合并统计本单位各业务领域所有采取“双随机、一公开”抽查方式</w:t>
      </w:r>
      <w:r>
        <w:rPr>
          <w:rFonts w:hint="eastAsia" w:ascii="楷体_GB2312" w:hAnsi="楷体_GB2312" w:eastAsia="楷体_GB2312" w:cs="楷体_GB2312"/>
          <w:sz w:val="28"/>
          <w:szCs w:val="28"/>
          <w:lang w:val="en-US" w:eastAsia="zh-CN"/>
        </w:rPr>
        <w:t>和跨部门“综合查一次”</w:t>
      </w:r>
      <w:r>
        <w:rPr>
          <w:rFonts w:hint="eastAsia" w:ascii="楷体_GB2312" w:hAnsi="楷体_GB2312" w:eastAsia="楷体_GB2312" w:cs="楷体_GB2312"/>
          <w:sz w:val="28"/>
          <w:szCs w:val="28"/>
          <w:lang w:eastAsia="zh-CN"/>
        </w:rPr>
        <w:t>进行的检查对象数量</w:t>
      </w:r>
      <w:r>
        <w:rPr>
          <w:rFonts w:hint="eastAsia" w:ascii="楷体_GB2312" w:hAnsi="楷体_GB2312" w:eastAsia="楷体_GB2312" w:cs="楷体_GB2312"/>
          <w:sz w:val="28"/>
          <w:szCs w:val="28"/>
          <w:lang w:eastAsia="zh"/>
        </w:rPr>
        <w:t>，有其他监管或考核要求的可适当提高抽查比例</w:t>
      </w:r>
      <w:r>
        <w:rPr>
          <w:rFonts w:hint="eastAsia" w:ascii="楷体_GB2312" w:hAnsi="楷体_GB2312" w:eastAsia="楷体_GB2312" w:cs="楷体_GB2312"/>
          <w:sz w:val="28"/>
          <w:szCs w:val="28"/>
          <w:lang w:eastAsia="zh-CN"/>
        </w:rPr>
        <w:t>。</w:t>
      </w:r>
    </w:p>
    <w:sectPr>
      <w:footerReference r:id="rId3" w:type="default"/>
      <w:pgSz w:w="23811" w:h="16838"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CESI黑体-GB2312"/>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roid Sans Fallback">
    <w:panose1 w:val="020B0502000000000001"/>
    <w:charset w:val="86"/>
    <w:family w:val="auto"/>
    <w:pitch w:val="default"/>
    <w:sig w:usb0="910002FF" w:usb1="2BDFFCFB" w:usb2="00000036" w:usb3="00000000" w:csb0="203F01FF" w:csb1="D7FF0000"/>
  </w:font>
  <w:font w:name="仿宋_GB2312">
    <w:panose1 w:val="02010609030101010101"/>
    <w:charset w:val="86"/>
    <w:family w:val="modern"/>
    <w:pitch w:val="default"/>
    <w:sig w:usb0="00000001" w:usb1="080E0000" w:usb2="00000000" w:usb3="00000000" w:csb0="00040000" w:csb1="00000000"/>
  </w:font>
  <w:font w:name="CESI黑体-GB2312">
    <w:panose1 w:val="02000500000000000000"/>
    <w:charset w:val="86"/>
    <w:family w:val="auto"/>
    <w:pitch w:val="default"/>
    <w:sig w:usb0="800002BF" w:usb1="184F6CF8" w:usb2="00000012" w:usb3="00000000" w:csb0="0004000F"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9BAD3">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-238125</wp:posOffset>
              </wp:positionV>
              <wp:extent cx="106045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060450" cy="1828800"/>
                      </a:xfrm>
                      <a:prstGeom prst="rect">
                        <a:avLst/>
                      </a:prstGeom>
                      <a:noFill/>
                      <a:ln w="6350">
                        <a:noFill/>
                      </a:ln>
                    </wps:spPr>
                    <wps:txbx>
                      <w:txbxContent>
                        <w:p w14:paraId="5F850146">
                          <w:pPr>
                            <w:widowControl w:val="0"/>
                            <w:tabs>
                              <w:tab w:val="center" w:pos="4153"/>
                              <w:tab w:val="right" w:pos="8306"/>
                            </w:tabs>
                            <w:snapToGrid w:val="0"/>
                            <w:jc w:val="left"/>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 xml:space="preserve">  — </w:t>
                          </w: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PAGE  \* MERGEFORMAT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kern w:val="2"/>
                              <w:sz w:val="28"/>
                              <w:szCs w:val="28"/>
                              <w:lang w:val="en-US" w:eastAsia="zh-CN" w:bidi="ar-SA"/>
                            </w:rPr>
                            <w:t>- 1 -</w:t>
                          </w:r>
                          <w:r>
                            <w:rPr>
                              <w:rFonts w:hint="eastAsia" w:ascii="宋体" w:hAnsi="宋体" w:eastAsia="宋体" w:cs="宋体"/>
                              <w:kern w:val="2"/>
                              <w:sz w:val="28"/>
                              <w:szCs w:val="28"/>
                              <w:lang w:val="en-US" w:eastAsia="zh-CN" w:bidi="ar-SA"/>
                            </w:rPr>
                            <w:fldChar w:fldCharType="end"/>
                          </w:r>
                          <w:r>
                            <w:rPr>
                              <w:rFonts w:hint="eastAsia" w:ascii="宋体" w:hAnsi="宋体" w:eastAsia="宋体" w:cs="宋体"/>
                              <w:kern w:val="2"/>
                              <w:sz w:val="28"/>
                              <w:szCs w:val="28"/>
                              <w:lang w:val="en-US" w:eastAsia="zh-CN" w:bidi="ar-SA"/>
                            </w:rPr>
                            <w:t xml:space="preserve"> —  </w:t>
                          </w:r>
                        </w:p>
                      </w:txbxContent>
                    </wps:txbx>
                    <wps:bodyPr lIns="0" tIns="0" rIns="0" bIns="0" upright="0">
                      <a:spAutoFit/>
                    </wps:bodyPr>
                  </wps:wsp>
                </a:graphicData>
              </a:graphic>
            </wp:anchor>
          </w:drawing>
        </mc:Choice>
        <mc:Fallback>
          <w:pict>
            <v:shape id="_x0000_s1026" o:spid="_x0000_s1026" o:spt="202" type="#_x0000_t202" style="position:absolute;left:0pt;margin-top:-18.75pt;height:144pt;width:83.5pt;mso-position-horizontal:right;mso-position-horizontal-relative:margin;z-index:251659264;mso-width-relative:page;mso-height-relative:page;" filled="f" stroked="f" coordsize="21600,21600" o:gfxdata="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DTGj9cAAAAIAQAADwAAAAAAAAABACAAAAAiAAAAZHJz&#10;L2Rvd25yZXYueG1sUEsBAhQAFAAAAAgAh07iQOdM4MfMAQAAlgMAAA4AAAAAAAAAAQAgAAAAJgEA&#10;AGRycy9lMm9Eb2MueG1sUEsFBgAAAAAGAAYAWQEAAGQFAAAAAA==&#10;">
              <v:fill on="f" focussize="0,0"/>
              <v:stroke on="f" weight="0.5pt"/>
              <v:imagedata o:title=""/>
              <o:lock v:ext="edit" aspectratio="f"/>
              <v:textbox inset="0mm,0mm,0mm,0mm" style="mso-fit-shape-to-text:t;">
                <w:txbxContent>
                  <w:p w14:paraId="5F850146">
                    <w:pPr>
                      <w:widowControl w:val="0"/>
                      <w:tabs>
                        <w:tab w:val="center" w:pos="4153"/>
                        <w:tab w:val="right" w:pos="8306"/>
                      </w:tabs>
                      <w:snapToGrid w:val="0"/>
                      <w:jc w:val="left"/>
                      <w:rPr>
                        <w:rFonts w:hint="default"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 xml:space="preserve">  — </w:t>
                    </w: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PAGE  \* MERGEFORMAT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kern w:val="2"/>
                        <w:sz w:val="28"/>
                        <w:szCs w:val="28"/>
                        <w:lang w:val="en-US" w:eastAsia="zh-CN" w:bidi="ar-SA"/>
                      </w:rPr>
                      <w:t>- 1 -</w:t>
                    </w:r>
                    <w:r>
                      <w:rPr>
                        <w:rFonts w:hint="eastAsia" w:ascii="宋体" w:hAnsi="宋体" w:eastAsia="宋体" w:cs="宋体"/>
                        <w:kern w:val="2"/>
                        <w:sz w:val="28"/>
                        <w:szCs w:val="28"/>
                        <w:lang w:val="en-US" w:eastAsia="zh-CN" w:bidi="ar-SA"/>
                      </w:rPr>
                      <w:fldChar w:fldCharType="end"/>
                    </w:r>
                    <w:r>
                      <w:rPr>
                        <w:rFonts w:hint="eastAsia" w:ascii="宋体" w:hAnsi="宋体" w:eastAsia="宋体" w:cs="宋体"/>
                        <w:kern w:val="2"/>
                        <w:sz w:val="28"/>
                        <w:szCs w:val="28"/>
                        <w:lang w:val="en-US" w:eastAsia="zh-CN" w:bidi="ar-SA"/>
                      </w:rPr>
                      <w:t xml:space="preserve"> —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7213AE"/>
    <w:multiLevelType w:val="singleLevel"/>
    <w:tmpl w:val="677213A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D80B15"/>
    <w:rsid w:val="09073D6F"/>
    <w:rsid w:val="09304E7C"/>
    <w:rsid w:val="0FC44968"/>
    <w:rsid w:val="0FD80B15"/>
    <w:rsid w:val="124F3630"/>
    <w:rsid w:val="14B839B9"/>
    <w:rsid w:val="178150B7"/>
    <w:rsid w:val="17F36518"/>
    <w:rsid w:val="1F610E8A"/>
    <w:rsid w:val="1FA318C9"/>
    <w:rsid w:val="211E2BCD"/>
    <w:rsid w:val="29676AA5"/>
    <w:rsid w:val="2E2C1150"/>
    <w:rsid w:val="2FFFB0AD"/>
    <w:rsid w:val="37102B37"/>
    <w:rsid w:val="3D636E95"/>
    <w:rsid w:val="3EB1240F"/>
    <w:rsid w:val="4C5E77E2"/>
    <w:rsid w:val="4DA6571E"/>
    <w:rsid w:val="50B34EF5"/>
    <w:rsid w:val="51A856CC"/>
    <w:rsid w:val="546D0D69"/>
    <w:rsid w:val="55EA1AA0"/>
    <w:rsid w:val="5DBC221A"/>
    <w:rsid w:val="63DC1539"/>
    <w:rsid w:val="66F22D2A"/>
    <w:rsid w:val="671C1773"/>
    <w:rsid w:val="6C853A83"/>
    <w:rsid w:val="73160F23"/>
    <w:rsid w:val="79EB8204"/>
    <w:rsid w:val="7B3702FB"/>
    <w:rsid w:val="7D901191"/>
    <w:rsid w:val="F4FBC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table" w:customStyle="1" w:styleId="6">
    <w:name w:val="网格型1"/>
    <w:qFormat/>
    <w:uiPriority w:val="0"/>
    <w:pPr>
      <w:widowControl w:val="0"/>
      <w:jc w:val="both"/>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20</TotalTime>
  <ScaleCrop>false</ScaleCrop>
  <LinksUpToDate>false</LinksUpToDate>
  <CharactersWithSpaces>0</CharactersWithSpaces>
  <Application>WPS Office_12.8.2.20327_F1E327BC-269C-435d-A152-05C5408002CA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2025-06-15T13:59:00Z</dcterms:created>
  <dc:creator>墨守成规1388909485</dc:creator>
  <cp:lastModifiedBy>信用处</cp:lastModifiedBy>
  <dcterms:modified xsi:type="dcterms:W3CDTF">2025-06-17T17:57:07Z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2052-12.8.2.20327</vt:lpwstr>
  </property>
  <property fmtid="{D5CDD505-2E9C-101B-9397-08002B2CF9AE}" pid="3" name="ICV">
    <vt:lpwstr>E8A4BAE292D4674C09385168D32AA405_42</vt:lpwstr>
  </property>
</Properties>
</file>