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bookmarkStart w:id="0" w:name="bookmark6"/>
      <w:bookmarkStart w:id="1" w:name="bookmark7"/>
      <w:bookmarkStart w:id="2" w:name="bookmark8"/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平潭综合实验区农村标准三格化粪池、旱厕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改水冲式公厕建设资金补助工作方案</w:t>
      </w:r>
      <w:bookmarkEnd w:id="0"/>
      <w:bookmarkEnd w:id="1"/>
      <w:bookmarkEnd w:id="2"/>
    </w:p>
    <w:p>
      <w:pPr>
        <w:bidi w:val="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578" w:lineRule="exact"/>
        <w:ind w:left="0" w:right="0" w:firstLine="66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为大力推进我区农村生活污水处理设施建设，规范专项补助 资金的使用和管理，提高资金使用效率，根据中共福建省、福建 省人民政府《关于开展2017年为民办实事工作的通知》（闽委 〔2017〕4号）、福建省人民政府办公厅关于印发《2017年全省 宜居环境建设行动计划的通知》（闽政办〔2017〕25号）、《平潭 综合实验区管委会办公室关于印发〈平潭综合实验区农村污水垃 圾整治行动实施方案（ 2016-2020 ）〉的通知》（岚综管办〔2016〕 262号）和全省农村生活污水垃圾治理工作视频会议工作部署等 要求，结合我区实际，特制订本建设资金补助工作方案。，</w:t>
      </w:r>
    </w:p>
    <w:p>
      <w:pPr>
        <w:pStyle w:val="13"/>
        <w:keepNext/>
        <w:keepLines/>
        <w:widowControl w:val="0"/>
        <w:shd w:val="clear" w:color="auto" w:fill="auto"/>
        <w:tabs>
          <w:tab w:val="left" w:pos="1294"/>
        </w:tabs>
        <w:bidi w:val="0"/>
        <w:spacing w:before="0" w:after="0" w:line="578" w:lineRule="exact"/>
        <w:ind w:left="0" w:right="0" w:firstLine="66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bookmarkStart w:id="3" w:name="bookmark11"/>
      <w:bookmarkStart w:id="4" w:name="bookmark9"/>
      <w:bookmarkStart w:id="5" w:name="bookmark12"/>
      <w:bookmarkStart w:id="6" w:name="bookmark10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一</w:t>
      </w:r>
      <w:bookmarkEnd w:id="3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、</w:t>
      </w:r>
      <w:bookmarkStart w:id="35" w:name="_GoBack"/>
      <w:bookmarkEnd w:id="35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工作原则</w:t>
      </w:r>
      <w:bookmarkEnd w:id="4"/>
      <w:bookmarkEnd w:id="5"/>
      <w:bookmarkEnd w:id="6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578" w:lineRule="exact"/>
        <w:ind w:left="0" w:right="0" w:firstLine="66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坚持群众自建、财政补助原则。农村标准三格化粪池、旱厕 改水冲式公厕建设项目由农户和村委会作为项目实施主体，按照 区财政预算安排，对新建改造经验收合格的农村标准三格化粪 池、农村旱厕改水冲式公厕给予专项资金补助。</w:t>
      </w:r>
    </w:p>
    <w:p>
      <w:pPr>
        <w:pStyle w:val="13"/>
        <w:keepNext/>
        <w:keepLines/>
        <w:widowControl w:val="0"/>
        <w:shd w:val="clear" w:color="auto" w:fill="auto"/>
        <w:tabs>
          <w:tab w:val="left" w:pos="1294"/>
        </w:tabs>
        <w:bidi w:val="0"/>
        <w:spacing w:before="0" w:after="0" w:line="578" w:lineRule="exact"/>
        <w:ind w:left="0" w:right="0" w:firstLine="66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bookmarkStart w:id="7" w:name="bookmark15"/>
      <w:bookmarkStart w:id="8" w:name="bookmark13"/>
      <w:bookmarkStart w:id="9" w:name="bookmark14"/>
      <w:bookmarkStart w:id="10" w:name="bookmark16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二</w:t>
      </w:r>
      <w:bookmarkEnd w:id="7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、工作任务</w:t>
      </w:r>
      <w:bookmarkEnd w:id="8"/>
      <w:bookmarkEnd w:id="9"/>
      <w:bookmarkEnd w:id="10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280" w:line="602" w:lineRule="exact"/>
        <w:ind w:left="0" w:right="0" w:firstLine="66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为推进全区农村污水治理全覆盖，计划2017年至2019年期 间新建改造约30000户标准三格化粪池（以省上下达的任务数为 准），其中2017年为7692户；对180个行政村每个行政村1个 旱厕改水冲式公厕进行补助。</w:t>
      </w:r>
    </w:p>
    <w:p>
      <w:pPr>
        <w:pStyle w:val="13"/>
        <w:keepNext/>
        <w:keepLines/>
        <w:widowControl w:val="0"/>
        <w:shd w:val="clear" w:color="auto" w:fill="auto"/>
        <w:tabs>
          <w:tab w:val="left" w:pos="1262"/>
        </w:tabs>
        <w:bidi w:val="0"/>
        <w:spacing w:before="0" w:after="0" w:line="581" w:lineRule="exact"/>
        <w:ind w:left="0" w:right="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bookmarkStart w:id="11" w:name="bookmark19"/>
      <w:bookmarkStart w:id="12" w:name="bookmark18"/>
      <w:bookmarkStart w:id="13" w:name="bookmark17"/>
      <w:bookmarkStart w:id="14" w:name="bookmark20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三</w:t>
      </w:r>
      <w:bookmarkEnd w:id="11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、补助标准</w:t>
      </w:r>
      <w:bookmarkEnd w:id="12"/>
      <w:bookmarkEnd w:id="13"/>
      <w:bookmarkEnd w:id="14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576" w:lineRule="exact"/>
        <w:ind w:left="0" w:right="0" w:firstLine="64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农村新建改造标准三格化粪池，省级每户补助标准600元， 区财政按每户不低于1200元配套补助，计划三年区财政至少补 助资金3600万元。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569" w:lineRule="exact"/>
        <w:ind w:left="0" w:right="0" w:firstLine="64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农村旱厕改水冲式公厕设施建设按蹲位进行补助，区财政按 每蹲位补助5000元，原则上不超过5个蹲位（含5个），一村（行 政村）仅补助一个，180个行政村区财政共计补助450万元。</w:t>
      </w:r>
    </w:p>
    <w:p>
      <w:pPr>
        <w:pStyle w:val="13"/>
        <w:keepNext/>
        <w:keepLines/>
        <w:widowControl w:val="0"/>
        <w:shd w:val="clear" w:color="auto" w:fill="auto"/>
        <w:tabs>
          <w:tab w:val="left" w:pos="1262"/>
        </w:tabs>
        <w:bidi w:val="0"/>
        <w:spacing w:before="0" w:after="0" w:line="581" w:lineRule="exact"/>
        <w:ind w:left="0" w:right="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bookmarkStart w:id="15" w:name="bookmark23"/>
      <w:bookmarkStart w:id="16" w:name="bookmark22"/>
      <w:bookmarkStart w:id="17" w:name="bookmark21"/>
      <w:bookmarkStart w:id="18" w:name="bookmark24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四</w:t>
      </w:r>
      <w:bookmarkEnd w:id="15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、补助条件与方式</w:t>
      </w:r>
      <w:bookmarkEnd w:id="16"/>
      <w:bookmarkEnd w:id="17"/>
      <w:bookmarkEnd w:id="18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569" w:lineRule="exact"/>
        <w:ind w:left="0" w:right="0" w:firstLine="64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农村标准三格化粪池、旱厕改水冲式公厕建设项目由农户和 村委会作为项目实施主体，进场开工后由乡镇确认先预拨补助资 金的20%;经竣工验收合格后，再拨补助资金的60%;经水质抽 样检测合格后再拨补助资金的20%。 ，</w:t>
      </w:r>
    </w:p>
    <w:p>
      <w:pPr>
        <w:pStyle w:val="13"/>
        <w:keepNext/>
        <w:keepLines/>
        <w:widowControl w:val="0"/>
        <w:shd w:val="clear" w:color="auto" w:fill="auto"/>
        <w:tabs>
          <w:tab w:val="left" w:pos="1262"/>
        </w:tabs>
        <w:bidi w:val="0"/>
        <w:spacing w:before="0" w:after="0" w:line="586" w:lineRule="exact"/>
        <w:ind w:left="0" w:right="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bookmarkStart w:id="19" w:name="bookmark27"/>
      <w:bookmarkStart w:id="20" w:name="bookmark25"/>
      <w:bookmarkStart w:id="21" w:name="bookmark26"/>
      <w:bookmarkStart w:id="22" w:name="bookmark28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五</w:t>
      </w:r>
      <w:bookmarkEnd w:id="19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、验收程序</w:t>
      </w:r>
      <w:bookmarkEnd w:id="20"/>
      <w:bookmarkEnd w:id="21"/>
      <w:bookmarkEnd w:id="22"/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586" w:lineRule="exact"/>
        <w:ind w:left="0" w:right="0" w:firstLine="64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 xml:space="preserve">一个行政村生活污水治理的建设周期为一年，一年内农村标 准三格化粪池建设完成率需达到当年确定任务数的90%,并完成 相应旱厕改水冲式公厕任务指标方可申请区级验收。验收实行三 级考核机制。 </w:t>
      </w:r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  <w:lang w:val="en-US" w:eastAsia="en-US" w:bidi="en-US"/>
        </w:rPr>
        <w:t>'•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596" w:lineRule="exact"/>
        <w:ind w:left="0" w:right="0" w:firstLine="780"/>
        <w:jc w:val="both"/>
        <w:rPr>
          <w:rFonts w:hint="eastAsia" w:ascii="仿宋_GB2312" w:hAnsi="仿宋_GB2312" w:eastAsia="仿宋_GB2312" w:cs="仿宋_GB2312"/>
          <w:sz w:val="32"/>
          <w:szCs w:val="32"/>
        </w:rPr>
        <w:sectPr>
          <w:footerReference r:id="rId5" w:type="default"/>
          <w:footerReference r:id="rId6" w:type="even"/>
          <w:footnotePr>
            <w:numFmt w:val="decimal"/>
          </w:footnotePr>
          <w:pgSz w:w="11900" w:h="16840"/>
          <w:pgMar w:top="1884" w:right="1358" w:bottom="1826" w:left="1455" w:header="0" w:footer="3" w:gutter="0"/>
          <w:pgNumType w:start="1"/>
          <w:cols w:space="720" w:num="1"/>
          <w:rtlGutter w:val="0"/>
          <w:docGrid w:linePitch="360" w:charSpace="0"/>
        </w:sectPr>
      </w:pPr>
      <w:bookmarkStart w:id="23" w:name="bookmark29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（</w:t>
      </w:r>
      <w:bookmarkEnd w:id="23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一）村级自查。工程建设施工期间，由村两委组成工作小 组按照农村标准三格化粪池建设导图对工程质量和数量进行全 过程检查，并拍照取证，合格的由农村标准三格化粪池受益户签 字确认，对旱厕改水冲式公厕按工程建设标准进行验收。完成当 年下达建设任务数的行政村可申请乡镇核查。</w:t>
      </w:r>
    </w:p>
    <w:p>
      <w:pPr>
        <w:pStyle w:val="9"/>
        <w:keepNext w:val="0"/>
        <w:keepLines w:val="0"/>
        <w:widowControl w:val="0"/>
        <w:shd w:val="clear" w:color="auto" w:fill="auto"/>
        <w:tabs>
          <w:tab w:val="left" w:pos="1598"/>
        </w:tabs>
        <w:bidi w:val="0"/>
        <w:spacing w:before="0" w:after="0" w:line="594" w:lineRule="exact"/>
        <w:ind w:left="0" w:right="0" w:firstLine="76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bookmarkStart w:id="24" w:name="bookmark30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（</w:t>
      </w:r>
      <w:bookmarkEnd w:id="24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二）乡镇核查。各乡镇负责成立专门工作小组在工程建设 期间进行全程指导、参与和监督，对申请核查的农村标准三格化 粪池建设数量进行核实，并在各村庄公示栏上公布，同时组织对 排放水质进行检测。经核查合格后，按年度任务向区交建局申请 区级验收，并申请资金补助。</w:t>
      </w:r>
    </w:p>
    <w:p>
      <w:pPr>
        <w:pStyle w:val="9"/>
        <w:keepNext w:val="0"/>
        <w:keepLines w:val="0"/>
        <w:widowControl w:val="0"/>
        <w:shd w:val="clear" w:color="auto" w:fill="auto"/>
        <w:tabs>
          <w:tab w:val="left" w:pos="1591"/>
        </w:tabs>
        <w:bidi w:val="0"/>
        <w:spacing w:before="0" w:after="180" w:line="594" w:lineRule="exact"/>
        <w:ind w:left="0" w:right="0" w:firstLine="76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bookmarkStart w:id="25" w:name="bookmark31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（</w:t>
      </w:r>
      <w:bookmarkEnd w:id="25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三）区级验收。区交建局牵头区直相关部门，组织工作人 员进行随机抽样检查，核实受益名单和排放水质标准。按照年度 下达任务完成情况，下拔专项补助资金。</w:t>
      </w:r>
    </w:p>
    <w:p>
      <w:pPr>
        <w:pStyle w:val="9"/>
        <w:keepNext w:val="0"/>
        <w:keepLines w:val="0"/>
        <w:widowControl w:val="0"/>
        <w:shd w:val="clear" w:color="auto" w:fill="auto"/>
        <w:tabs>
          <w:tab w:val="left" w:pos="1261"/>
        </w:tabs>
        <w:bidi w:val="0"/>
        <w:spacing w:before="0" w:after="40" w:line="240" w:lineRule="auto"/>
        <w:ind w:left="0" w:right="0" w:firstLine="62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bookmarkStart w:id="26" w:name="bookmark32"/>
      <w:r>
        <w:rPr>
          <w:rFonts w:hint="eastAsia" w:ascii="仿宋_GB2312" w:hAnsi="仿宋_GB2312" w:eastAsia="仿宋_GB2312" w:cs="仿宋_GB2312"/>
          <w:b/>
          <w:bCs/>
          <w:color w:val="000000"/>
          <w:spacing w:val="0"/>
          <w:w w:val="100"/>
          <w:position w:val="0"/>
          <w:sz w:val="32"/>
          <w:szCs w:val="32"/>
        </w:rPr>
        <w:t>六</w:t>
      </w:r>
      <w:bookmarkEnd w:id="26"/>
      <w:r>
        <w:rPr>
          <w:rFonts w:hint="eastAsia" w:ascii="仿宋_GB2312" w:hAnsi="仿宋_GB2312" w:eastAsia="仿宋_GB2312" w:cs="仿宋_GB2312"/>
          <w:b/>
          <w:bCs/>
          <w:color w:val="000000"/>
          <w:spacing w:val="0"/>
          <w:w w:val="100"/>
          <w:position w:val="0"/>
          <w:sz w:val="32"/>
          <w:szCs w:val="32"/>
        </w:rPr>
        <w:t>、申请材料</w:t>
      </w:r>
    </w:p>
    <w:p>
      <w:pPr>
        <w:pStyle w:val="9"/>
        <w:keepNext w:val="0"/>
        <w:keepLines w:val="0"/>
        <w:widowControl w:val="0"/>
        <w:shd w:val="clear" w:color="auto" w:fill="auto"/>
        <w:bidi w:val="0"/>
        <w:spacing w:before="0" w:after="0" w:line="576" w:lineRule="exact"/>
        <w:ind w:left="0" w:right="0" w:firstLine="62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各乡镇申请专项补助资金需附农村标准三格化粪池选用导 图、现场施工照片（施工前、施工中、施工后）、三格化粪池受 益户签字、村两委自查材料、水质检测报告、乡镇公示材料及经 村委、乡镇盖章确认的申请资金补助表格等资料。</w:t>
      </w:r>
    </w:p>
    <w:p>
      <w:pPr>
        <w:pStyle w:val="13"/>
        <w:keepNext/>
        <w:keepLines/>
        <w:widowControl w:val="0"/>
        <w:shd w:val="clear" w:color="auto" w:fill="auto"/>
        <w:tabs>
          <w:tab w:val="left" w:pos="1261"/>
        </w:tabs>
        <w:bidi w:val="0"/>
        <w:spacing w:before="0" w:after="0" w:line="576" w:lineRule="exact"/>
        <w:ind w:left="0" w:right="0" w:firstLine="62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bookmarkStart w:id="27" w:name="bookmark35"/>
      <w:bookmarkStart w:id="28" w:name="bookmark36"/>
      <w:bookmarkStart w:id="29" w:name="bookmark33"/>
      <w:bookmarkStart w:id="30" w:name="bookmark34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七</w:t>
      </w:r>
      <w:bookmarkEnd w:id="27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、保障措施</w:t>
      </w:r>
      <w:bookmarkEnd w:id="28"/>
      <w:bookmarkEnd w:id="29"/>
      <w:bookmarkEnd w:id="30"/>
    </w:p>
    <w:p>
      <w:pPr>
        <w:pStyle w:val="9"/>
        <w:keepNext w:val="0"/>
        <w:keepLines w:val="0"/>
        <w:widowControl w:val="0"/>
        <w:shd w:val="clear" w:color="auto" w:fill="auto"/>
        <w:tabs>
          <w:tab w:val="left" w:pos="1591"/>
        </w:tabs>
        <w:bidi w:val="0"/>
        <w:spacing w:before="0" w:after="0" w:line="590" w:lineRule="exact"/>
        <w:ind w:left="0" w:right="0" w:firstLine="76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bookmarkStart w:id="31" w:name="bookmark37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（</w:t>
      </w:r>
      <w:bookmarkEnd w:id="31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一）加强组织领导。区管委会已明确通过三年攻坚行动全 面完成农村污水治理工作，各区直部门要按职责分工抓好落实， 区交建局负责牵头推进农村标准三格化粪池和旱厕改水冲式公 厕建设工作；区财金局负责补助资金列入预算，按规定下达主管 部门；区环土局负责水质排放标准检测；各乡镇人民政府负责具 体组织实施。各部门要强化联动，形成合力，切实推进农村污水 治理工作顺利开展。</w:t>
      </w:r>
    </w:p>
    <w:p>
      <w:pPr>
        <w:pStyle w:val="9"/>
        <w:keepNext w:val="0"/>
        <w:keepLines w:val="0"/>
        <w:widowControl w:val="0"/>
        <w:shd w:val="clear" w:color="auto" w:fill="auto"/>
        <w:tabs>
          <w:tab w:val="left" w:pos="1581"/>
        </w:tabs>
        <w:bidi w:val="0"/>
        <w:spacing w:before="0" w:after="100" w:line="590" w:lineRule="exact"/>
        <w:ind w:left="0" w:right="0" w:firstLine="76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bookmarkStart w:id="32" w:name="bookmark38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（</w:t>
      </w:r>
      <w:bookmarkEnd w:id="32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二）动员群众自建。各部门、各乡镇要采取多种宣传形式,激发村民参与的积极性和主动性，全面动员农村每家每户新建或 改造标准三格化粪池，彻底改变农村生活污水直接排放行为，要 充分发挥村民老人会、妇女联合会、共青团组织的作用，建立污 水管网并联机制，组织老党员、老干部等开展互动监督，对反映 的问题及时反馈并整改到位。</w:t>
      </w:r>
    </w:p>
    <w:p>
      <w:pPr>
        <w:pStyle w:val="9"/>
        <w:keepNext w:val="0"/>
        <w:keepLines w:val="0"/>
        <w:widowControl w:val="0"/>
        <w:shd w:val="clear" w:color="auto" w:fill="auto"/>
        <w:tabs>
          <w:tab w:val="left" w:pos="1566"/>
        </w:tabs>
        <w:bidi w:val="0"/>
        <w:spacing w:before="0" w:after="0" w:line="587" w:lineRule="exact"/>
        <w:ind w:left="0" w:right="0" w:firstLine="78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bookmarkStart w:id="33" w:name="bookmark39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（</w:t>
      </w:r>
      <w:bookmarkEnd w:id="33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三）</w:t>
      </w:r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ab/>
      </w:r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加强资金使用管理。农村标准三格化粪池、旱厕改水 冲式公厕建设奖补资金实行专账管理、专款专用，严禁截留、挪 用或转作他用，同时建立农村污水治理违规违法行为的网络举报 平台和举报电话，对违反使用管理规定的，按相关法律法规严肃 处理。</w:t>
      </w:r>
    </w:p>
    <w:p>
      <w:pPr>
        <w:pStyle w:val="9"/>
        <w:keepNext w:val="0"/>
        <w:keepLines w:val="0"/>
        <w:widowControl w:val="0"/>
        <w:shd w:val="clear" w:color="auto" w:fill="auto"/>
        <w:tabs>
          <w:tab w:val="left" w:pos="1558"/>
        </w:tabs>
        <w:bidi w:val="0"/>
        <w:spacing w:before="0" w:after="0" w:line="587" w:lineRule="exact"/>
        <w:ind w:left="0" w:right="0" w:firstLine="78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bookmarkStart w:id="34" w:name="bookmark40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（</w:t>
      </w:r>
      <w:bookmarkEnd w:id="34"/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四）</w:t>
      </w:r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ab/>
      </w:r>
      <w:r>
        <w:rPr>
          <w:rFonts w:hint="eastAsia" w:ascii="仿宋_GB2312" w:hAnsi="仿宋_GB2312" w:eastAsia="仿宋_GB2312" w:cs="仿宋_GB2312"/>
          <w:color w:val="000000"/>
          <w:spacing w:val="0"/>
          <w:w w:val="100"/>
          <w:position w:val="0"/>
          <w:sz w:val="32"/>
          <w:szCs w:val="32"/>
        </w:rPr>
        <w:t>建立进度月报和督查机制。按照省住建厅每月上报进 展情况的工作要求，各乡镇每月25日要将工作进展情况报送至 区环境卫生整治办，区环境卫生整治办对各乡镇农村污水治理工 作每月完成情况进行考评，并将考核结果作为年度绩效考核的重 要依据。</w:t>
      </w:r>
    </w:p>
    <w:sectPr>
      <w:footerReference r:id="rId7" w:type="default"/>
      <w:footerReference r:id="rId8" w:type="even"/>
      <w:footnotePr>
        <w:numFmt w:val="decimal"/>
      </w:footnotePr>
      <w:type w:val="continuous"/>
      <w:pgSz w:w="11900" w:h="16840"/>
      <w:pgMar w:top="1884" w:right="1358" w:bottom="1826" w:left="1455" w:header="0" w:footer="3" w:gutter="0"/>
      <w:cols w:space="72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5827395</wp:posOffset>
              </wp:positionH>
              <wp:positionV relativeFrom="page">
                <wp:posOffset>9649460</wp:posOffset>
              </wp:positionV>
              <wp:extent cx="626110" cy="118745"/>
              <wp:effectExtent l="0" t="0" r="0" b="0"/>
              <wp:wrapNone/>
              <wp:docPr id="2" name="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611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1026" o:spt="202" type="#_x0000_t202" style="position:absolute;left:0pt;margin-left:458.85pt;margin-top:759.8pt;height:9.35pt;width:49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supHV2AAA&#10;AA4BAAAPAAAAAAAAAAEAIAAAACIAAABkcnMvZG93bnJldi54bWxQSwECFAAUAAAACACHTuJAtK3D&#10;aawBAABvAwAADgAAAAAAAAABACAAAAAn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—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1268730</wp:posOffset>
              </wp:positionH>
              <wp:positionV relativeFrom="page">
                <wp:posOffset>9631045</wp:posOffset>
              </wp:positionV>
              <wp:extent cx="621665" cy="123190"/>
              <wp:effectExtent l="0" t="0" r="0" b="0"/>
              <wp:wrapNone/>
              <wp:docPr id="4" name="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1665" cy="1231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en-US" w:eastAsia="en-US" w:bidi="en-US"/>
                            </w:rPr>
                            <w:t>—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1026" o:spt="202" type="#_x0000_t202" style="position:absolute;left:0pt;margin-left:99.9pt;margin-top:758.35pt;height:9.7pt;width:48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IhCugPY&#10;AAAADQEAAA8AAAAAAAAAAQAgAAAAIgAAAGRycy9kb3ducmV2LnhtbFBLAQIUABQAAAAIAIdO4kDN&#10;SM6DrgEAAG8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en-US" w:eastAsia="en-US" w:bidi="en-US"/>
                      </w:rPr>
                      <w:t>—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5734050</wp:posOffset>
              </wp:positionH>
              <wp:positionV relativeFrom="page">
                <wp:posOffset>9654540</wp:posOffset>
              </wp:positionV>
              <wp:extent cx="626110" cy="118745"/>
              <wp:effectExtent l="0" t="0" r="0" b="0"/>
              <wp:wrapNone/>
              <wp:docPr id="6" name="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611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1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—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5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" o:spid="_x0000_s1026" o:spt="202" type="#_x0000_t202" style="position:absolute;left:0pt;margin-left:451.5pt;margin-top:760.2pt;height:9.35pt;width:49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gkYFN2AAA&#10;AA4BAAAPAAAAAAAAAAEAIAAAACIAAABkcnMvZG93bnJldi54bWxQSwECFAAUAAAACACHTuJAYR8d&#10;uKwBAABvAwAADgAAAAAAAAABACAAAAAn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—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</w:rPr>
                      <w:t>5 —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1545590</wp:posOffset>
              </wp:positionH>
              <wp:positionV relativeFrom="page">
                <wp:posOffset>9658350</wp:posOffset>
              </wp:positionV>
              <wp:extent cx="205740" cy="118745"/>
              <wp:effectExtent l="0" t="0" r="0" b="0"/>
              <wp:wrapNone/>
              <wp:docPr id="8" name="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7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" o:spid="_x0000_s1026" o:spt="202" type="#_x0000_t202" style="position:absolute;left:0pt;margin-left:121.7pt;margin-top:760.5pt;height:9.35pt;width:16.2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FJCK72AAA&#10;AA0BAAAPAAAAAAAAAAEAIAAAACIAAABkcnMvZG93bnJldi54bWxQSwECFAAUAAAACACHTuJAk3x0&#10;EawBAABvAwAADgAAAAAAAAABACAAAAAn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</w:p>
  </w:footnote>
  <w:footnote w:type="continuationSeparator" w:id="1">
    <w:p>
      <w:pPr>
        <w:spacing w:before="0"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evenAndOddHeaders w:val="1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</w:compat>
  <w:docVars>
    <w:docVar w:name="commondata" w:val="eyJoZGlkIjoiZWZhMzVmZTE1ZTBjNTJlMTYyODI3MWQ3YzVkNjc3YzUifQ=="/>
  </w:docVars>
  <w:rsids>
    <w:rsidRoot w:val="00000000"/>
    <w:rsid w:val="77BC4B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3">
    <w:name w:val="Default Paragraph Font"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Heading #1|1_"/>
    <w:basedOn w:val="3"/>
    <w:link w:val="5"/>
    <w:uiPriority w:val="0"/>
    <w:rPr>
      <w:rFonts w:ascii="宋体" w:hAnsi="宋体" w:eastAsia="宋体" w:cs="宋体"/>
      <w:color w:val="D63F4E"/>
      <w:sz w:val="80"/>
      <w:szCs w:val="80"/>
      <w:u w:val="none"/>
      <w:shd w:val="clear" w:color="auto" w:fill="auto"/>
      <w:lang w:val="zh-TW" w:eastAsia="zh-TW" w:bidi="zh-TW"/>
    </w:rPr>
  </w:style>
  <w:style w:type="paragraph" w:customStyle="1" w:styleId="5">
    <w:name w:val="Heading #1|1"/>
    <w:basedOn w:val="1"/>
    <w:link w:val="4"/>
    <w:uiPriority w:val="0"/>
    <w:pPr>
      <w:widowControl w:val="0"/>
      <w:shd w:val="clear" w:color="auto" w:fill="auto"/>
      <w:spacing w:before="2160" w:after="1060"/>
      <w:jc w:val="center"/>
      <w:outlineLvl w:val="0"/>
    </w:pPr>
    <w:rPr>
      <w:rFonts w:ascii="宋体" w:hAnsi="宋体" w:eastAsia="宋体" w:cs="宋体"/>
      <w:color w:val="D63F4E"/>
      <w:sz w:val="80"/>
      <w:szCs w:val="80"/>
      <w:u w:val="none"/>
      <w:shd w:val="clear" w:color="auto" w:fill="auto"/>
      <w:lang w:val="zh-TW" w:eastAsia="zh-TW" w:bidi="zh-TW"/>
    </w:rPr>
  </w:style>
  <w:style w:type="character" w:customStyle="1" w:styleId="6">
    <w:name w:val="Header or footer|2_"/>
    <w:basedOn w:val="3"/>
    <w:link w:val="7"/>
    <w:uiPriority w:val="0"/>
    <w:rPr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7">
    <w:name w:val="Header or footer|2"/>
    <w:basedOn w:val="1"/>
    <w:link w:val="6"/>
    <w:uiPriority w:val="0"/>
    <w:pPr>
      <w:widowControl w:val="0"/>
      <w:shd w:val="clear" w:color="auto" w:fill="auto"/>
    </w:pPr>
    <w:rPr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8">
    <w:name w:val="Body text|1_"/>
    <w:basedOn w:val="3"/>
    <w:link w:val="9"/>
    <w:uiPriority w:val="0"/>
    <w:rPr>
      <w:rFonts w:ascii="宋体" w:hAnsi="宋体" w:eastAsia="宋体" w:cs="宋体"/>
      <w:sz w:val="30"/>
      <w:szCs w:val="30"/>
      <w:u w:val="none"/>
      <w:shd w:val="clear" w:color="auto" w:fill="auto"/>
      <w:lang w:val="zh-TW" w:eastAsia="zh-TW" w:bidi="zh-TW"/>
    </w:rPr>
  </w:style>
  <w:style w:type="paragraph" w:customStyle="1" w:styleId="9">
    <w:name w:val="Body text|1"/>
    <w:basedOn w:val="1"/>
    <w:link w:val="8"/>
    <w:uiPriority w:val="0"/>
    <w:pPr>
      <w:widowControl w:val="0"/>
      <w:shd w:val="clear" w:color="auto" w:fill="auto"/>
      <w:spacing w:line="410" w:lineRule="auto"/>
      <w:ind w:firstLine="400"/>
    </w:pPr>
    <w:rPr>
      <w:rFonts w:ascii="宋体" w:hAnsi="宋体" w:eastAsia="宋体" w:cs="宋体"/>
      <w:sz w:val="30"/>
      <w:szCs w:val="30"/>
      <w:u w:val="none"/>
      <w:shd w:val="clear" w:color="auto" w:fill="auto"/>
      <w:lang w:val="zh-TW" w:eastAsia="zh-TW" w:bidi="zh-TW"/>
    </w:rPr>
  </w:style>
  <w:style w:type="character" w:customStyle="1" w:styleId="10">
    <w:name w:val="Heading #2|1_"/>
    <w:basedOn w:val="3"/>
    <w:link w:val="11"/>
    <w:uiPriority w:val="0"/>
    <w:rPr>
      <w:rFonts w:ascii="宋体" w:hAnsi="宋体" w:eastAsia="宋体" w:cs="宋体"/>
      <w:sz w:val="40"/>
      <w:szCs w:val="40"/>
      <w:u w:val="none"/>
      <w:shd w:val="clear" w:color="auto" w:fill="auto"/>
      <w:lang w:val="zh-TW" w:eastAsia="zh-TW" w:bidi="zh-TW"/>
    </w:rPr>
  </w:style>
  <w:style w:type="paragraph" w:customStyle="1" w:styleId="11">
    <w:name w:val="Heading #2|1"/>
    <w:basedOn w:val="1"/>
    <w:link w:val="10"/>
    <w:uiPriority w:val="0"/>
    <w:pPr>
      <w:widowControl w:val="0"/>
      <w:shd w:val="clear" w:color="auto" w:fill="auto"/>
      <w:spacing w:after="540" w:line="592" w:lineRule="exact"/>
      <w:jc w:val="center"/>
      <w:outlineLvl w:val="1"/>
    </w:pPr>
    <w:rPr>
      <w:rFonts w:ascii="宋体" w:hAnsi="宋体" w:eastAsia="宋体" w:cs="宋体"/>
      <w:sz w:val="40"/>
      <w:szCs w:val="40"/>
      <w:u w:val="none"/>
      <w:shd w:val="clear" w:color="auto" w:fill="auto"/>
      <w:lang w:val="zh-TW" w:eastAsia="zh-TW" w:bidi="zh-TW"/>
    </w:rPr>
  </w:style>
  <w:style w:type="character" w:customStyle="1" w:styleId="12">
    <w:name w:val="Heading #3|1_"/>
    <w:basedOn w:val="3"/>
    <w:link w:val="13"/>
    <w:uiPriority w:val="0"/>
    <w:rPr>
      <w:rFonts w:ascii="宋体" w:hAnsi="宋体" w:eastAsia="宋体" w:cs="宋体"/>
      <w:b/>
      <w:bCs/>
      <w:sz w:val="30"/>
      <w:szCs w:val="30"/>
      <w:u w:val="none"/>
      <w:shd w:val="clear" w:color="auto" w:fill="auto"/>
      <w:lang w:val="zh-TW" w:eastAsia="zh-TW" w:bidi="zh-TW"/>
    </w:rPr>
  </w:style>
  <w:style w:type="paragraph" w:customStyle="1" w:styleId="13">
    <w:name w:val="Heading #3|1"/>
    <w:basedOn w:val="1"/>
    <w:link w:val="12"/>
    <w:uiPriority w:val="0"/>
    <w:pPr>
      <w:widowControl w:val="0"/>
      <w:shd w:val="clear" w:color="auto" w:fill="auto"/>
      <w:spacing w:line="579" w:lineRule="exact"/>
      <w:ind w:firstLine="640"/>
      <w:outlineLvl w:val="2"/>
    </w:pPr>
    <w:rPr>
      <w:rFonts w:ascii="宋体" w:hAnsi="宋体" w:eastAsia="宋体" w:cs="宋体"/>
      <w:b/>
      <w:bCs/>
      <w:sz w:val="30"/>
      <w:szCs w:val="30"/>
      <w:u w:val="none"/>
      <w:shd w:val="clear" w:color="auto" w:fill="auto"/>
      <w:lang w:val="zh-TW" w:eastAsia="zh-TW" w:bidi="zh-TW"/>
    </w:rPr>
  </w:style>
  <w:style w:type="character" w:customStyle="1" w:styleId="14">
    <w:name w:val="Header or footer|1_"/>
    <w:basedOn w:val="3"/>
    <w:link w:val="15"/>
    <w:uiPriority w:val="0"/>
    <w:rPr>
      <w:sz w:val="28"/>
      <w:szCs w:val="28"/>
      <w:u w:val="none"/>
      <w:shd w:val="clear" w:color="auto" w:fill="auto"/>
      <w:lang w:val="zh-TW" w:eastAsia="zh-TW" w:bidi="zh-TW"/>
    </w:rPr>
  </w:style>
  <w:style w:type="paragraph" w:customStyle="1" w:styleId="15">
    <w:name w:val="Header or footer|1"/>
    <w:basedOn w:val="1"/>
    <w:link w:val="14"/>
    <w:uiPriority w:val="0"/>
    <w:pPr>
      <w:widowControl w:val="0"/>
      <w:shd w:val="clear" w:color="auto" w:fill="auto"/>
    </w:pPr>
    <w:rPr>
      <w:sz w:val="28"/>
      <w:szCs w:val="28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2023-08-29T19:06:15Z</dcterms:created>
  <dc:creator>ASUS</dc:creator>
  <cp:lastModifiedBy>转身</cp:lastModifiedBy>
  <dcterms:modified xsi:type="dcterms:W3CDTF">2023-08-29T19:10:12Z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88F1C349C98A470B9305375DCE478FEC_12</vt:lpwstr>
  </property>
</Properties>
</file>