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bookmarkStart w:id="0" w:name="_GoBack"/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岚综实旅发〔2017〕41号</w:t>
      </w:r>
      <w:bookmarkEnd w:id="0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平潭综合实验区旅游发展委员会关于印发《旅游安全事故应急处置评估制度》的通知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/>
        <w:jc w:val="left"/>
        <w:textAlignment w:val="auto"/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区各旅游企业：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/>
        <w:jc w:val="left"/>
        <w:textAlignment w:val="auto"/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为进一步做好我区旅游行业内突发事件应急评估工作，最大限度减少我区人民群众生命与财产损失，现将《旅游安全事故应急处置评估制度》印发给你们，请认真组织实施。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/>
        <w:jc w:val="left"/>
        <w:textAlignment w:val="auto"/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/>
        <w:jc w:val="left"/>
        <w:textAlignment w:val="auto"/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附件：旅游安全事故应急处置评估制度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3520" w:firstLineChars="1100"/>
        <w:jc w:val="left"/>
        <w:textAlignment w:val="auto"/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 xml:space="preserve">    平潭综合实验区旅游发展委员会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4480" w:firstLineChars="1400"/>
        <w:jc w:val="left"/>
        <w:textAlignment w:val="auto"/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 xml:space="preserve">     2017年9月5日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旅游安全事故应急处置评估制度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黑体" w:hAnsi="黑体" w:eastAsia="黑体" w:cs="Tahoma"/>
          <w:color w:val="333333"/>
          <w:kern w:val="0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Tahoma"/>
          <w:color w:val="333333"/>
          <w:kern w:val="0"/>
          <w:sz w:val="32"/>
          <w:szCs w:val="32"/>
        </w:rPr>
        <w:t>总则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（一）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为规范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平潭综合实验区旅游安全事故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应急处置评估工作，总结和吸取经验教训，不断提高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旅游行业</w:t>
      </w:r>
      <w:r>
        <w:rPr>
          <w:rFonts w:hint="eastAsia" w:ascii="仿宋_GB2312" w:hAnsi="Tahoma" w:eastAsia="仿宋_GB2312" w:cs="Tahoma"/>
          <w:color w:val="000000"/>
          <w:kern w:val="0"/>
          <w:sz w:val="32"/>
          <w:szCs w:val="32"/>
          <w:lang w:eastAsia="zh-CN"/>
        </w:rPr>
        <w:t>突发事件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应急处置能力，</w:t>
      </w:r>
      <w:r>
        <w:rPr>
          <w:rFonts w:hint="eastAsia" w:ascii="仿宋_GB2312" w:hAnsi="Tahoma" w:eastAsia="仿宋_GB2312" w:cs="Tahoma"/>
          <w:color w:val="000000"/>
          <w:kern w:val="0"/>
          <w:sz w:val="32"/>
          <w:szCs w:val="32"/>
        </w:rPr>
        <w:t>持续改进应急准备工作，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根据《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中华人民共和国旅游法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》、《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中华人民共和国安全生产法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》、《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中华人民共和国突发事件应对法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》及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国家旅游局第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41号令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《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旅游安全管理办法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》等规定，结合本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区旅游安全工作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实际制定本制度。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（二）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本制度适用于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平潭综合实验区旅游发展委员会开展旅游安全事故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应急处置评估工作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（三）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旅游</w:t>
      </w:r>
      <w:r>
        <w:rPr>
          <w:rFonts w:hint="eastAsia" w:ascii="仿宋_GB2312" w:hAnsi="Tahoma" w:eastAsia="仿宋_GB2312" w:cs="Tahoma"/>
          <w:color w:val="000000"/>
          <w:kern w:val="0"/>
          <w:sz w:val="32"/>
          <w:szCs w:val="32"/>
          <w:lang w:eastAsia="zh-CN"/>
        </w:rPr>
        <w:t>安全事故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应急处置评估应当按照客观、公正、科学、规范的原则进行。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（四）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区安全生产委员会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指导和监督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我委旅游安全事故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应急处置评估工作。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 w:firstLineChars="200"/>
        <w:jc w:val="both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黑体" w:hAnsi="黑体" w:eastAsia="黑体" w:cs="Tahoma"/>
          <w:color w:val="333333"/>
          <w:kern w:val="0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Tahoma"/>
          <w:color w:val="333333"/>
          <w:kern w:val="0"/>
          <w:sz w:val="32"/>
          <w:szCs w:val="32"/>
        </w:rPr>
        <w:t>应急处置评估组织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/>
        <w:jc w:val="left"/>
        <w:textAlignment w:val="auto"/>
        <w:rPr>
          <w:rFonts w:hint="eastAsia" w:ascii="仿宋_GB2312" w:hAnsi="Tahoma" w:eastAsia="仿宋_GB2312" w:cs="Tahoma"/>
          <w:color w:val="000000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（一）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旅游发展委员会</w:t>
      </w:r>
      <w:r>
        <w:rPr>
          <w:rFonts w:hint="eastAsia" w:ascii="仿宋_GB2312" w:hAnsi="Tahoma" w:eastAsia="仿宋_GB2312" w:cs="Tahoma"/>
          <w:color w:val="000000"/>
          <w:kern w:val="0"/>
          <w:sz w:val="32"/>
          <w:szCs w:val="32"/>
        </w:rPr>
        <w:t>设立应急处置评估组，</w:t>
      </w:r>
      <w:r>
        <w:rPr>
          <w:rFonts w:hint="eastAsia" w:ascii="仿宋_GB2312" w:hAnsi="Tahoma" w:eastAsia="仿宋_GB2312" w:cs="Tahoma"/>
          <w:color w:val="000000"/>
          <w:kern w:val="0"/>
          <w:sz w:val="32"/>
          <w:szCs w:val="32"/>
          <w:lang w:eastAsia="zh-CN"/>
        </w:rPr>
        <w:t>专人</w:t>
      </w:r>
      <w:r>
        <w:rPr>
          <w:rFonts w:hint="eastAsia" w:ascii="仿宋_GB2312" w:hAnsi="Tahoma" w:eastAsia="仿宋_GB2312" w:cs="Tahoma"/>
          <w:color w:val="000000"/>
          <w:kern w:val="0"/>
          <w:sz w:val="32"/>
          <w:szCs w:val="32"/>
        </w:rPr>
        <w:t>负责对</w:t>
      </w:r>
      <w:r>
        <w:rPr>
          <w:rFonts w:hint="eastAsia" w:ascii="仿宋_GB2312" w:hAnsi="Tahoma" w:eastAsia="仿宋_GB2312" w:cs="Tahoma"/>
          <w:color w:val="000000"/>
          <w:kern w:val="0"/>
          <w:sz w:val="32"/>
          <w:szCs w:val="32"/>
          <w:lang w:eastAsia="zh-CN"/>
        </w:rPr>
        <w:t>旅游安全事故</w:t>
      </w:r>
      <w:r>
        <w:rPr>
          <w:rFonts w:hint="eastAsia" w:ascii="仿宋_GB2312" w:hAnsi="Tahoma" w:eastAsia="仿宋_GB2312" w:cs="Tahoma"/>
          <w:color w:val="000000"/>
          <w:kern w:val="0"/>
          <w:sz w:val="32"/>
          <w:szCs w:val="32"/>
        </w:rPr>
        <w:t>应急处置工作进行评估。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（二）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旅游安全事故</w:t>
      </w:r>
      <w:r>
        <w:rPr>
          <w:rFonts w:hint="eastAsia" w:ascii="仿宋_GB2312" w:hAnsi="Tahoma" w:eastAsia="仿宋_GB2312" w:cs="Tahoma"/>
          <w:color w:val="000000"/>
          <w:kern w:val="0"/>
          <w:sz w:val="32"/>
          <w:szCs w:val="32"/>
        </w:rPr>
        <w:t>应急处置评估组组长由</w:t>
      </w:r>
      <w:r>
        <w:rPr>
          <w:rFonts w:hint="eastAsia" w:ascii="仿宋_GB2312" w:hAnsi="Tahoma" w:eastAsia="仿宋_GB2312" w:cs="Tahoma"/>
          <w:color w:val="000000"/>
          <w:kern w:val="0"/>
          <w:sz w:val="32"/>
          <w:szCs w:val="32"/>
          <w:lang w:eastAsia="zh-CN"/>
        </w:rPr>
        <w:t>安全生产分管领导吴杰华副主任担任，副组长成员由行业管理处、产业促进处、风景名胜区管理局以及风景区与旅游执法支队负责人担任，</w:t>
      </w:r>
      <w:r>
        <w:rPr>
          <w:rFonts w:hint="eastAsia" w:ascii="仿宋_GB2312" w:hAnsi="Tahoma" w:eastAsia="仿宋_GB2312" w:cs="Tahoma"/>
          <w:color w:val="000000"/>
          <w:kern w:val="0"/>
          <w:sz w:val="32"/>
          <w:szCs w:val="32"/>
        </w:rPr>
        <w:t>并根据需要聘请相关专家参与评估工作。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（三）区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安全生产委员会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监督管理部门根据实际情况，可派出工作组协助指导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旅游安全事故应急处置组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进行应急处置评估。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 w:firstLineChars="200"/>
        <w:jc w:val="both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黑体" w:hAnsi="黑体" w:eastAsia="黑体" w:cs="Tahoma"/>
          <w:color w:val="333333"/>
          <w:kern w:val="0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Tahoma"/>
          <w:color w:val="333333"/>
          <w:kern w:val="0"/>
          <w:sz w:val="32"/>
          <w:szCs w:val="32"/>
        </w:rPr>
        <w:t>应急处置评估程序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（一）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应急处置评估组根据工作需要，可以采取下列方法：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1.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听取事故单位和事发地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相关负责人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事故及应急处置情况说明；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2.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现场勘查；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3.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查阅相关文字、音像资料和数据信息；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4.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询问有关人员；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5.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组织专家论证，必要时可以委托相关机构进行技术鉴定。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（二）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事故单位和现场指挥部应当分别进行事故应急处置工作总结，向事故调查组提交总结报告。内容包括：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1.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事故基本情况。主要包括：时间、地点、事故单位概况，人员伤亡、财产损失情况，事故类型及初步原因等情况；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2.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先期处置情况。主要包括：事故单位应急自救措施、事发地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旅游行业相关部门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的先期处置措施等情况；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3.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事故信息接收、流转与报送情况。主要包括：事故报告及续报，事故信息接收与处理，应急值守等情况；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4.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应急预案实施情况。主要包括：应急预案启动、实施及衔接等情况；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5.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组织指挥情况。主要包括：应急救援指挥部成立及组成，各应急工作组按责任分工开展工作等情况；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6.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现场救援方案制定及执行情况。主要包括：应急处置方案制定及执行，防范次生、衍生事故及事故扩大采取的措施等情况；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7.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现场管理。主要包括：现场清理、人员疏散及清点、警戒保卫等应急处置现场安全保障措施等情况；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8.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现场应急救援队伍工作情况。主要包括：参与应急处置救援队伍、人员组成及紧急调度情况，应急救援工作开展等情况；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9.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应急资源保障情况。主要包括：所需通讯、抢险、救援和防护等各类应急物资装备的保障及紧急调配等情况；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10.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信息发布情况。主要包括：舆情监控及对外信息发布等情况；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11.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救援成效、经验和教训。主要包括：搜救遇险人员及医疗救治情况，成功救险人数，保护财产物资和重要设施，避免次生、衍生事故及事故扩大等情况；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12.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相关建议。主要包括：对事故单位应急处置及政府实施救援方面的建议。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 w:firstLineChars="200"/>
        <w:jc w:val="both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黑体" w:hAnsi="黑体" w:eastAsia="黑体" w:cs="Tahoma"/>
          <w:color w:val="333333"/>
          <w:kern w:val="0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Tahoma"/>
          <w:color w:val="333333"/>
          <w:kern w:val="0"/>
          <w:sz w:val="32"/>
          <w:szCs w:val="32"/>
        </w:rPr>
        <w:t>应急处置评估内容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应急处置评估组对事故单位的评估，应当包括以下内容：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1.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应急响应情况。包括事故基本情况、信息报送情况等；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2.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先期处置情况。包括自救情况、控制危险源情况、防范次生灾害发生情况；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3.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应急管理规章制度的建立和执行情况；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4.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风险评估和应急资源调查情况；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5.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应急预案的编制、培训、演练、执行情况；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6.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应急救援队伍、人员、装备、物资储备、资金保障等方面的落实情况。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 w:firstLineChars="200"/>
        <w:jc w:val="both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黑体" w:hAnsi="黑体" w:eastAsia="黑体" w:cs="Tahoma"/>
          <w:color w:val="333333"/>
          <w:kern w:val="0"/>
          <w:sz w:val="32"/>
          <w:szCs w:val="32"/>
          <w:lang w:eastAsia="zh-CN"/>
        </w:rPr>
        <w:t>五、</w:t>
      </w:r>
      <w:r>
        <w:rPr>
          <w:rFonts w:hint="eastAsia" w:ascii="黑体" w:hAnsi="黑体" w:eastAsia="黑体" w:cs="Tahoma"/>
          <w:color w:val="333333"/>
          <w:kern w:val="0"/>
          <w:sz w:val="32"/>
          <w:szCs w:val="32"/>
        </w:rPr>
        <w:t>应急处置评估报告内容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（一）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应急处置评估组应当向事故调查组提交应急处置评估报告。内容包括：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1.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事故应急处置基本情况；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2.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事故单位应急管理及应急处置责任落实情况；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3.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评估结论。包括依法对有关违法违规情形提出处罚建议，提交事故调查组后，按照相关《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旅游安全管理办法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》执行；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4.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经验教训；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30"/>
        <w:jc w:val="left"/>
        <w:textAlignment w:val="auto"/>
        <w:rPr>
          <w:rFonts w:hint="eastAsia" w:ascii="黑体" w:hAnsi="黑体" w:eastAsia="黑体" w:cs="Tahoma"/>
          <w:color w:val="333333"/>
          <w:kern w:val="0"/>
          <w:sz w:val="32"/>
          <w:szCs w:val="32"/>
          <w:lang w:eastAsia="zh-CN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5.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相关工作建议。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 w:firstLineChars="200"/>
        <w:jc w:val="both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黑体" w:hAnsi="黑体" w:eastAsia="黑体" w:cs="Tahoma"/>
          <w:color w:val="333333"/>
          <w:kern w:val="0"/>
          <w:sz w:val="32"/>
          <w:szCs w:val="32"/>
          <w:lang w:eastAsia="zh-CN"/>
        </w:rPr>
        <w:t>六、</w:t>
      </w:r>
      <w:r>
        <w:rPr>
          <w:rFonts w:hint="eastAsia" w:ascii="黑体" w:hAnsi="黑体" w:eastAsia="黑体" w:cs="Tahoma"/>
          <w:color w:val="333333"/>
          <w:kern w:val="0"/>
          <w:sz w:val="32"/>
          <w:szCs w:val="32"/>
        </w:rPr>
        <w:t>应急处置评估管理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5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（一）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应急处置评估组应在规定的时限内向事故调查组和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区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安全生产监督管理部门提交评估报告，事故调查组应将应急处置评估内容纳入事故调查报告。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5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（二）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各旅游企业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当根据应急处置评估报告，改进和加强日常管理、应急准备及应急处置等工作。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5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（三）各机构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应当每年对本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单位旅游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安全事故应急处置评估情况进行总结、收集典型案例，并于每年1月15日前将上一年度总结报告报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区旅游发展委员会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管理部门。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5"/>
        <w:jc w:val="left"/>
        <w:textAlignment w:val="auto"/>
        <w:rPr>
          <w:rFonts w:ascii="Tahoma" w:hAnsi="Tahoma" w:eastAsia="宋体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（四）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本制度所称的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旅游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安全事故应急处置是指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eastAsia="zh-CN"/>
        </w:rPr>
        <w:t>旅游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安全事故发生到事故危险状态消除期间，为抢救人员、保护财产和环境而采取的措施、行动。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5"/>
        <w:jc w:val="left"/>
        <w:textAlignment w:val="auto"/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</w:pP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  <w:t>（五）</w:t>
      </w:r>
      <w:r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  <w:t>本制度自印发之日起施行。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5"/>
        <w:jc w:val="left"/>
        <w:textAlignment w:val="auto"/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</w:pP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/>
        <w:jc w:val="left"/>
        <w:textAlignment w:val="auto"/>
        <w:rPr>
          <w:rFonts w:hint="eastAsia" w:ascii="仿宋_GB2312" w:hAnsi="Tahoma" w:eastAsia="仿宋_GB2312" w:cs="Tahoma"/>
          <w:color w:val="333333"/>
          <w:kern w:val="0"/>
          <w:sz w:val="32"/>
          <w:szCs w:val="32"/>
        </w:rPr>
      </w:pPr>
    </w:p>
    <w:p>
      <w:pPr>
        <w:keepNext w:val="0"/>
        <w:keepLines w:val="0"/>
        <w:pageBreakBefore w:val="0"/>
        <w:tabs>
          <w:tab w:val="left" w:pos="59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120" w:firstLine="640" w:firstLineChars="200"/>
        <w:textAlignment w:val="auto"/>
        <w:outlineLvl w:val="9"/>
        <w:rPr>
          <w:rFonts w:hint="eastAsia" w:ascii="仿宋_GB2312" w:eastAsia="仿宋_GB2312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tabs>
          <w:tab w:val="left" w:pos="59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120" w:firstLine="640" w:firstLineChars="200"/>
        <w:textAlignment w:val="auto"/>
        <w:outlineLvl w:val="9"/>
        <w:rPr>
          <w:rFonts w:hint="eastAsia" w:ascii="仿宋_GB2312" w:eastAsia="仿宋_GB2312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tabs>
          <w:tab w:val="left" w:pos="59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120" w:firstLine="640" w:firstLineChars="200"/>
        <w:textAlignment w:val="auto"/>
        <w:outlineLvl w:val="9"/>
        <w:rPr>
          <w:rFonts w:hint="eastAsia" w:ascii="仿宋_GB2312" w:eastAsia="仿宋_GB2312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tabs>
          <w:tab w:val="left" w:pos="59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120" w:firstLine="640" w:firstLineChars="200"/>
        <w:textAlignment w:val="auto"/>
        <w:outlineLvl w:val="9"/>
        <w:rPr>
          <w:rFonts w:hint="eastAsia" w:ascii="仿宋_GB2312" w:eastAsia="仿宋_GB2312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tabs>
          <w:tab w:val="left" w:pos="59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120" w:firstLine="640" w:firstLineChars="200"/>
        <w:textAlignment w:val="auto"/>
        <w:outlineLvl w:val="9"/>
        <w:rPr>
          <w:rFonts w:hint="eastAsia" w:ascii="仿宋_GB2312" w:eastAsia="仿宋_GB2312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tabs>
          <w:tab w:val="left" w:pos="59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120" w:firstLine="640" w:firstLineChars="200"/>
        <w:textAlignment w:val="auto"/>
        <w:outlineLvl w:val="9"/>
        <w:rPr>
          <w:rFonts w:hint="eastAsia" w:ascii="仿宋_GB2312" w:eastAsia="仿宋_GB2312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tabs>
          <w:tab w:val="left" w:pos="59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120" w:firstLine="640" w:firstLineChars="200"/>
        <w:textAlignment w:val="auto"/>
        <w:outlineLvl w:val="9"/>
        <w:rPr>
          <w:rFonts w:hint="eastAsia" w:ascii="仿宋_GB2312" w:eastAsia="仿宋_GB2312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tabs>
          <w:tab w:val="left" w:pos="59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120" w:firstLine="640" w:firstLineChars="200"/>
        <w:textAlignment w:val="auto"/>
        <w:outlineLvl w:val="9"/>
        <w:rPr>
          <w:rFonts w:hint="eastAsia" w:ascii="仿宋_GB2312" w:eastAsia="仿宋_GB2312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tabs>
          <w:tab w:val="left" w:pos="59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120" w:firstLine="640" w:firstLineChars="200"/>
        <w:textAlignment w:val="auto"/>
        <w:outlineLvl w:val="9"/>
        <w:rPr>
          <w:rFonts w:hint="eastAsia" w:ascii="仿宋_GB2312" w:eastAsia="仿宋_GB2312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pBdr>
          <w:top w:val="single" w:color="auto" w:sz="4" w:space="0"/>
          <w:bottom w:val="single" w:color="auto" w:sz="4" w:space="0"/>
        </w:pBdr>
        <w:tabs>
          <w:tab w:val="left" w:pos="59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120"/>
        <w:textAlignment w:val="auto"/>
        <w:outlineLvl w:val="9"/>
        <w:rPr>
          <w:rFonts w:hint="eastAsia" w:ascii="仿宋_GB2312" w:hAnsi="Tahoma" w:eastAsia="仿宋_GB2312" w:cs="Tahoma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color w:val="auto"/>
          <w:sz w:val="28"/>
          <w:szCs w:val="28"/>
          <w:lang w:val="en-US" w:eastAsia="zh-CN"/>
        </w:rPr>
        <w:t xml:space="preserve">  </w:t>
      </w:r>
      <w:r>
        <w:rPr>
          <w:rFonts w:hint="eastAsia" w:ascii="仿宋_GB2312" w:eastAsia="仿宋_GB2312"/>
          <w:color w:val="auto"/>
          <w:sz w:val="28"/>
          <w:szCs w:val="28"/>
          <w:lang w:eastAsia="zh-CN"/>
        </w:rPr>
        <w:t>平潭综合实验区旅游发展委员会办公室</w:t>
      </w:r>
      <w:r>
        <w:rPr>
          <w:rFonts w:hint="eastAsia" w:ascii="仿宋_GB2312" w:eastAsia="仿宋_GB2312"/>
          <w:color w:val="auto"/>
          <w:sz w:val="28"/>
          <w:szCs w:val="28"/>
          <w:lang w:val="en-US" w:eastAsia="zh-CN"/>
        </w:rPr>
        <w:t xml:space="preserve">       2017年9月5日印发</w:t>
      </w:r>
    </w:p>
    <w:sectPr>
      <w:footerReference r:id="rId3" w:type="default"/>
      <w:pgSz w:w="11906" w:h="16838"/>
      <w:pgMar w:top="2098" w:right="1276" w:bottom="1984" w:left="1684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文星简小标宋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rFonts w:hint="eastAsia" w:eastAsiaTheme="minorEastAsia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5LOmo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hint="eastAsia" w:eastAsiaTheme="minorEastAsia"/>
                        <w:sz w:val="18"/>
                        <w:lang w:eastAsia="zh-CN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26641"/>
    <w:rsid w:val="04394291"/>
    <w:rsid w:val="04525DA7"/>
    <w:rsid w:val="04F077B7"/>
    <w:rsid w:val="050E12F7"/>
    <w:rsid w:val="052C4A12"/>
    <w:rsid w:val="067477AE"/>
    <w:rsid w:val="06B3328F"/>
    <w:rsid w:val="073F7012"/>
    <w:rsid w:val="07427C51"/>
    <w:rsid w:val="07E93EE8"/>
    <w:rsid w:val="080E6FA0"/>
    <w:rsid w:val="092B5305"/>
    <w:rsid w:val="094147C8"/>
    <w:rsid w:val="09C261EC"/>
    <w:rsid w:val="0A445564"/>
    <w:rsid w:val="0A542786"/>
    <w:rsid w:val="0CC620D2"/>
    <w:rsid w:val="0D1E5956"/>
    <w:rsid w:val="0D751DF0"/>
    <w:rsid w:val="0F030704"/>
    <w:rsid w:val="108A2234"/>
    <w:rsid w:val="11C21527"/>
    <w:rsid w:val="12F1386B"/>
    <w:rsid w:val="160405E8"/>
    <w:rsid w:val="162F4F00"/>
    <w:rsid w:val="16D47774"/>
    <w:rsid w:val="173C1541"/>
    <w:rsid w:val="1777635C"/>
    <w:rsid w:val="1788709A"/>
    <w:rsid w:val="193D11B0"/>
    <w:rsid w:val="1AE56E01"/>
    <w:rsid w:val="1BB907AA"/>
    <w:rsid w:val="1C956773"/>
    <w:rsid w:val="1CBF0424"/>
    <w:rsid w:val="1CC05FE9"/>
    <w:rsid w:val="1CE77FDB"/>
    <w:rsid w:val="1D3460F7"/>
    <w:rsid w:val="1E640D70"/>
    <w:rsid w:val="1F107C52"/>
    <w:rsid w:val="20E757CB"/>
    <w:rsid w:val="21090835"/>
    <w:rsid w:val="213B7601"/>
    <w:rsid w:val="21A24668"/>
    <w:rsid w:val="22E24ACD"/>
    <w:rsid w:val="27800F9E"/>
    <w:rsid w:val="282A3875"/>
    <w:rsid w:val="29783DFC"/>
    <w:rsid w:val="2C4D1EB8"/>
    <w:rsid w:val="2E442964"/>
    <w:rsid w:val="2E4A135C"/>
    <w:rsid w:val="2F6123CA"/>
    <w:rsid w:val="301F0CE3"/>
    <w:rsid w:val="312C262B"/>
    <w:rsid w:val="32457D3D"/>
    <w:rsid w:val="32760944"/>
    <w:rsid w:val="335022C5"/>
    <w:rsid w:val="336F4D52"/>
    <w:rsid w:val="34627389"/>
    <w:rsid w:val="34E947A4"/>
    <w:rsid w:val="35E911B3"/>
    <w:rsid w:val="39B91380"/>
    <w:rsid w:val="3A6C6714"/>
    <w:rsid w:val="3AA520F7"/>
    <w:rsid w:val="3AC10FA8"/>
    <w:rsid w:val="3B1B7DE5"/>
    <w:rsid w:val="3B3238E6"/>
    <w:rsid w:val="3B3C418D"/>
    <w:rsid w:val="3CBB1A53"/>
    <w:rsid w:val="3CDE0A2F"/>
    <w:rsid w:val="3CF703B3"/>
    <w:rsid w:val="3D5A0766"/>
    <w:rsid w:val="3D6166E6"/>
    <w:rsid w:val="3E5B086B"/>
    <w:rsid w:val="3EA34318"/>
    <w:rsid w:val="3F5268C7"/>
    <w:rsid w:val="3FE746C5"/>
    <w:rsid w:val="3FEB1167"/>
    <w:rsid w:val="3FF45466"/>
    <w:rsid w:val="40036507"/>
    <w:rsid w:val="404A0AD1"/>
    <w:rsid w:val="421A77E2"/>
    <w:rsid w:val="44B92C76"/>
    <w:rsid w:val="456A3050"/>
    <w:rsid w:val="45A50F9A"/>
    <w:rsid w:val="45AB2686"/>
    <w:rsid w:val="45B6485A"/>
    <w:rsid w:val="46ED0C0A"/>
    <w:rsid w:val="472B46E4"/>
    <w:rsid w:val="472F0E51"/>
    <w:rsid w:val="4A344992"/>
    <w:rsid w:val="4BCC3D76"/>
    <w:rsid w:val="4D0B0EF6"/>
    <w:rsid w:val="4EAE2845"/>
    <w:rsid w:val="529B2249"/>
    <w:rsid w:val="52F8281F"/>
    <w:rsid w:val="52F870CA"/>
    <w:rsid w:val="5546394F"/>
    <w:rsid w:val="55BB123A"/>
    <w:rsid w:val="5635023E"/>
    <w:rsid w:val="583B39D4"/>
    <w:rsid w:val="599E1ED3"/>
    <w:rsid w:val="5A0A04C3"/>
    <w:rsid w:val="5A380063"/>
    <w:rsid w:val="5BC76A18"/>
    <w:rsid w:val="5DBC3F6B"/>
    <w:rsid w:val="5E2A37F4"/>
    <w:rsid w:val="5E59347B"/>
    <w:rsid w:val="60B04EBE"/>
    <w:rsid w:val="60D95945"/>
    <w:rsid w:val="63610464"/>
    <w:rsid w:val="64D45048"/>
    <w:rsid w:val="65282AAA"/>
    <w:rsid w:val="656D6A40"/>
    <w:rsid w:val="670710D8"/>
    <w:rsid w:val="67A94894"/>
    <w:rsid w:val="6CD81D97"/>
    <w:rsid w:val="6DA1320E"/>
    <w:rsid w:val="71882A5A"/>
    <w:rsid w:val="718B2FC1"/>
    <w:rsid w:val="7348600A"/>
    <w:rsid w:val="746D728C"/>
    <w:rsid w:val="7536547D"/>
    <w:rsid w:val="75E06AE3"/>
    <w:rsid w:val="76285EAF"/>
    <w:rsid w:val="769151C2"/>
    <w:rsid w:val="76BF2C24"/>
    <w:rsid w:val="778562F3"/>
    <w:rsid w:val="786645D9"/>
    <w:rsid w:val="78F47441"/>
    <w:rsid w:val="79B806B6"/>
    <w:rsid w:val="7A0500E4"/>
    <w:rsid w:val="7BEB530B"/>
    <w:rsid w:val="7C6A4CEF"/>
    <w:rsid w:val="7C83666C"/>
    <w:rsid w:val="7C8808F9"/>
    <w:rsid w:val="7ED741AF"/>
    <w:rsid w:val="7FDD6E52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Office_10.1.0.6156_F1E327BC-269C-435d-A152-05C5408002CA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p</cp:lastModifiedBy>
  <cp:lastPrinted>2017-09-05T08:34:15Z</cp:lastPrinted>
  <dcterms:modified xsi:type="dcterms:W3CDTF">2017-09-05T08:38:42Z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2052-10.1.0.6156</vt:lpwstr>
  </property>
</Properties>
</file>