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0" w:after="0" w:line="560" w:lineRule="exact"/>
      </w:pPr>
    </w:p>
    <w:p>
      <w:pPr>
        <w:spacing w:line="560" w:lineRule="exact"/>
        <w:jc w:val="center"/>
        <w:rPr>
          <w:rFonts w:ascii="仿宋_GB2312" w:eastAsia="仿宋_GB2312"/>
          <w:sz w:val="32"/>
          <w:szCs w:val="32"/>
        </w:rPr>
      </w:pPr>
    </w:p>
    <w:p>
      <w:pPr>
        <w:spacing w:line="560" w:lineRule="exact"/>
        <w:jc w:val="center"/>
        <w:rPr>
          <w:rFonts w:ascii="仿宋_GB2312" w:eastAsia="仿宋_GB2312"/>
          <w:sz w:val="32"/>
          <w:szCs w:val="32"/>
        </w:rPr>
      </w:pPr>
    </w:p>
    <w:p>
      <w:pPr>
        <w:spacing w:line="560" w:lineRule="exact"/>
        <w:jc w:val="center"/>
        <w:rPr>
          <w:rFonts w:ascii="仿宋_GB2312" w:eastAsia="仿宋_GB2312"/>
          <w:sz w:val="32"/>
          <w:szCs w:val="32"/>
        </w:rPr>
      </w:pPr>
    </w:p>
    <w:p>
      <w:pPr>
        <w:spacing w:line="560" w:lineRule="exact"/>
        <w:rPr>
          <w:color w:val="000000" w:themeColor="text1"/>
        </w:rPr>
      </w:pPr>
    </w:p>
    <w:p>
      <w:pPr>
        <w:spacing w:line="560" w:lineRule="exact"/>
        <w:rPr>
          <w:color w:val="000000" w:themeColor="text1"/>
        </w:rPr>
      </w:pPr>
    </w:p>
    <w:p>
      <w:pPr>
        <w:spacing w:line="560" w:lineRule="exact"/>
        <w:rPr>
          <w:color w:val="000000" w:themeColor="text1"/>
        </w:rPr>
      </w:pPr>
    </w:p>
    <w:p>
      <w:pPr>
        <w:spacing w:line="560" w:lineRule="exact"/>
        <w:rPr>
          <w:color w:val="000000" w:themeColor="text1"/>
        </w:rPr>
      </w:pPr>
    </w:p>
    <w:p>
      <w:pPr>
        <w:spacing w:line="560" w:lineRule="exact"/>
        <w:jc w:val="center"/>
        <w:rPr>
          <w:rFonts w:ascii="仿宋_GB2312" w:eastAsia="仿宋_GB2312"/>
          <w:color w:val="000000" w:themeColor="text1"/>
          <w:sz w:val="32"/>
          <w:szCs w:val="32"/>
        </w:rPr>
      </w:pPr>
      <w:r>
        <w:rPr>
          <w:rFonts w:hint="eastAsia" w:ascii="仿宋_GB2312" w:eastAsia="仿宋_GB2312"/>
          <w:color w:val="000000" w:themeColor="text1"/>
          <w:sz w:val="32"/>
          <w:szCs w:val="32"/>
        </w:rPr>
        <w:t>岚政〔2021〕 号</w:t>
      </w:r>
    </w:p>
    <w:p>
      <w:pPr>
        <w:spacing w:line="560" w:lineRule="exact"/>
        <w:rPr>
          <w:color w:val="000000" w:themeColor="text1"/>
        </w:rPr>
      </w:pPr>
    </w:p>
    <w:p>
      <w:pPr>
        <w:spacing w:line="560" w:lineRule="exact"/>
        <w:rPr>
          <w:color w:val="000000" w:themeColor="text1"/>
        </w:rPr>
      </w:pPr>
    </w:p>
    <w:p>
      <w:pPr>
        <w:spacing w:line="560" w:lineRule="exact"/>
        <w:rPr>
          <w:color w:val="000000" w:themeColor="text1"/>
        </w:rPr>
      </w:pPr>
    </w:p>
    <w:p>
      <w:pPr>
        <w:spacing w:line="560" w:lineRule="exact"/>
        <w:jc w:val="center"/>
        <w:rPr>
          <w:rFonts w:ascii="方正小标宋简体" w:eastAsia="方正小标宋简体"/>
          <w:color w:val="000000" w:themeColor="text1"/>
          <w:sz w:val="44"/>
          <w:szCs w:val="44"/>
        </w:rPr>
      </w:pPr>
      <w:r>
        <w:rPr>
          <w:rFonts w:hint="eastAsia" w:ascii="方正小标宋简体" w:eastAsia="方正小标宋简体"/>
          <w:color w:val="000000" w:themeColor="text1"/>
          <w:sz w:val="44"/>
          <w:szCs w:val="44"/>
        </w:rPr>
        <w:t>平潭县人民政府关于</w:t>
      </w:r>
    </w:p>
    <w:p>
      <w:pPr>
        <w:spacing w:line="560" w:lineRule="exact"/>
        <w:jc w:val="center"/>
        <w:rPr>
          <w:rFonts w:ascii="方正小标宋简体" w:eastAsia="方正小标宋简体"/>
          <w:color w:val="000000" w:themeColor="text1"/>
          <w:sz w:val="44"/>
          <w:szCs w:val="44"/>
        </w:rPr>
      </w:pPr>
      <w:r>
        <w:rPr>
          <w:rFonts w:hint="eastAsia" w:ascii="方正小标宋简体" w:eastAsia="方正小标宋简体"/>
          <w:color w:val="000000" w:themeColor="text1"/>
          <w:sz w:val="44"/>
          <w:szCs w:val="44"/>
        </w:rPr>
        <w:t>呈送2020年平潭财政决算情况的报告</w:t>
      </w:r>
    </w:p>
    <w:p>
      <w:pPr>
        <w:spacing w:line="560" w:lineRule="exact"/>
        <w:rPr>
          <w:rFonts w:ascii="仿宋_GB2312" w:eastAsia="仿宋_GB2312"/>
          <w:color w:val="000000" w:themeColor="text1"/>
          <w:sz w:val="32"/>
          <w:szCs w:val="32"/>
        </w:rPr>
      </w:pPr>
    </w:p>
    <w:p>
      <w:pPr>
        <w:spacing w:line="560" w:lineRule="exact"/>
        <w:rPr>
          <w:rFonts w:ascii="仿宋_GB2312" w:eastAsia="仿宋_GB2312"/>
          <w:color w:val="000000" w:themeColor="text1"/>
          <w:sz w:val="32"/>
          <w:szCs w:val="32"/>
        </w:rPr>
      </w:pPr>
      <w:r>
        <w:rPr>
          <w:rFonts w:hint="eastAsia" w:ascii="仿宋_GB2312" w:eastAsia="仿宋_GB2312"/>
          <w:color w:val="000000" w:themeColor="text1"/>
          <w:sz w:val="32"/>
          <w:szCs w:val="32"/>
        </w:rPr>
        <w:t>县人大常委会：</w:t>
      </w:r>
    </w:p>
    <w:p>
      <w:pPr>
        <w:spacing w:line="560" w:lineRule="exact"/>
        <w:ind w:firstLine="636" w:firstLineChars="200"/>
        <w:rPr>
          <w:rFonts w:ascii="仿宋_GB2312" w:eastAsia="仿宋_GB2312"/>
          <w:color w:val="000000" w:themeColor="text1"/>
          <w:sz w:val="32"/>
          <w:szCs w:val="32"/>
        </w:rPr>
      </w:pPr>
      <w:r>
        <w:rPr>
          <w:rFonts w:hint="eastAsia" w:ascii="仿宋_GB2312" w:eastAsia="仿宋_GB2312"/>
          <w:color w:val="000000" w:themeColor="text1"/>
          <w:sz w:val="32"/>
          <w:szCs w:val="32"/>
        </w:rPr>
        <w:t>现将《关于2020年平潭财政决算情况的报告》呈上，请予审议。</w:t>
      </w:r>
    </w:p>
    <w:p>
      <w:pPr>
        <w:spacing w:line="560" w:lineRule="exact"/>
        <w:ind w:firstLine="636" w:firstLineChars="200"/>
        <w:rPr>
          <w:rFonts w:ascii="仿宋_GB2312" w:eastAsia="仿宋_GB2312"/>
          <w:color w:val="000000" w:themeColor="text1"/>
          <w:sz w:val="32"/>
          <w:szCs w:val="32"/>
        </w:rPr>
      </w:pPr>
      <w:r>
        <w:rPr>
          <w:rFonts w:hint="eastAsia" w:ascii="仿宋_GB2312" w:eastAsia="仿宋_GB2312"/>
          <w:color w:val="000000" w:themeColor="text1"/>
          <w:sz w:val="32"/>
          <w:szCs w:val="32"/>
        </w:rPr>
        <w:t>特此报告</w:t>
      </w:r>
    </w:p>
    <w:p>
      <w:pPr>
        <w:spacing w:line="560" w:lineRule="exact"/>
        <w:rPr>
          <w:rFonts w:ascii="仿宋_GB2312" w:eastAsia="仿宋_GB2312"/>
          <w:color w:val="000000" w:themeColor="text1"/>
          <w:sz w:val="32"/>
          <w:szCs w:val="32"/>
        </w:rPr>
      </w:pPr>
    </w:p>
    <w:p>
      <w:pPr>
        <w:spacing w:line="560" w:lineRule="exact"/>
        <w:ind w:firstLine="4611" w:firstLineChars="1450"/>
        <w:rPr>
          <w:rFonts w:ascii="仿宋_GB2312" w:eastAsia="仿宋_GB2312"/>
          <w:color w:val="000000" w:themeColor="text1"/>
          <w:sz w:val="32"/>
          <w:szCs w:val="32"/>
        </w:rPr>
      </w:pPr>
      <w:r>
        <w:rPr>
          <w:rFonts w:hint="eastAsia" w:ascii="仿宋_GB2312" w:eastAsia="仿宋_GB2312"/>
          <w:color w:val="000000" w:themeColor="text1"/>
          <w:sz w:val="32"/>
          <w:szCs w:val="32"/>
        </w:rPr>
        <w:t>平潭县人民政府</w:t>
      </w:r>
    </w:p>
    <w:p>
      <w:pPr>
        <w:tabs>
          <w:tab w:val="left" w:pos="7310"/>
        </w:tabs>
        <w:spacing w:line="560" w:lineRule="exact"/>
        <w:ind w:right="4" w:firstLine="4608" w:firstLineChars="1449"/>
        <w:rPr>
          <w:rFonts w:ascii="仿宋_GB2312" w:eastAsia="仿宋_GB2312"/>
          <w:color w:val="000000" w:themeColor="text1"/>
          <w:sz w:val="32"/>
          <w:szCs w:val="32"/>
        </w:rPr>
      </w:pPr>
      <w:r>
        <w:rPr>
          <w:rFonts w:hint="eastAsia" w:ascii="仿宋_GB2312" w:eastAsia="仿宋_GB2312"/>
          <w:color w:val="000000" w:themeColor="text1"/>
          <w:sz w:val="32"/>
          <w:szCs w:val="32"/>
        </w:rPr>
        <w:t>2021年7月</w:t>
      </w:r>
      <w:r>
        <w:rPr>
          <w:rFonts w:hint="eastAsia" w:ascii="仿宋_GB2312" w:eastAsia="仿宋_GB2312"/>
          <w:color w:val="000000" w:themeColor="text1"/>
          <w:sz w:val="32"/>
          <w:szCs w:val="32"/>
          <w:lang w:val="en-US" w:eastAsia="zh-CN"/>
        </w:rPr>
        <w:t>30</w:t>
      </w:r>
      <w:bookmarkStart w:id="0" w:name="_GoBack"/>
      <w:bookmarkEnd w:id="0"/>
      <w:r>
        <w:rPr>
          <w:rFonts w:hint="eastAsia" w:ascii="仿宋_GB2312" w:eastAsia="仿宋_GB2312"/>
          <w:color w:val="000000" w:themeColor="text1"/>
          <w:sz w:val="32"/>
          <w:szCs w:val="32"/>
        </w:rPr>
        <w:t>日</w:t>
      </w:r>
    </w:p>
    <w:p>
      <w:pPr>
        <w:spacing w:line="560" w:lineRule="exact"/>
        <w:jc w:val="center"/>
        <w:outlineLvl w:val="1"/>
        <w:rPr>
          <w:rFonts w:ascii="方正小标宋简体" w:hAnsi="仿宋_GB2312" w:eastAsia="方正小标宋简体"/>
          <w:color w:val="000000" w:themeColor="text1"/>
          <w:sz w:val="44"/>
          <w:szCs w:val="44"/>
        </w:rPr>
      </w:pPr>
      <w:r>
        <w:rPr>
          <w:rFonts w:hint="eastAsia" w:ascii="方正小标宋简体" w:hAnsi="仿宋_GB2312" w:eastAsia="方正小标宋简体"/>
          <w:color w:val="000000" w:themeColor="text1"/>
          <w:sz w:val="44"/>
          <w:szCs w:val="44"/>
        </w:rPr>
        <w:t>关于</w:t>
      </w:r>
      <w:r>
        <w:rPr>
          <w:rFonts w:hint="eastAsia" w:ascii="方正小标宋简体" w:eastAsia="方正小标宋简体"/>
          <w:color w:val="000000" w:themeColor="text1"/>
          <w:sz w:val="44"/>
          <w:szCs w:val="44"/>
        </w:rPr>
        <w:t>2020</w:t>
      </w:r>
      <w:r>
        <w:rPr>
          <w:rFonts w:hint="eastAsia" w:ascii="方正小标宋简体" w:hAnsi="仿宋_GB2312" w:eastAsia="方正小标宋简体"/>
          <w:color w:val="000000" w:themeColor="text1"/>
          <w:sz w:val="44"/>
          <w:szCs w:val="44"/>
        </w:rPr>
        <w:t>年平潭财政决算情况的报告</w:t>
      </w:r>
    </w:p>
    <w:p>
      <w:pPr>
        <w:spacing w:line="560" w:lineRule="exact"/>
        <w:jc w:val="center"/>
        <w:rPr>
          <w:rFonts w:ascii="楷体_GB2312" w:eastAsia="楷体_GB2312"/>
          <w:color w:val="000000" w:themeColor="text1"/>
          <w:sz w:val="32"/>
          <w:szCs w:val="32"/>
        </w:rPr>
      </w:pPr>
      <w:r>
        <w:rPr>
          <w:rFonts w:hint="eastAsia" w:ascii="楷体_GB2312" w:eastAsia="楷体_GB2312"/>
          <w:color w:val="000000" w:themeColor="text1"/>
          <w:sz w:val="32"/>
          <w:szCs w:val="32"/>
        </w:rPr>
        <w:t>（2021年7月30日在平潭县第十七届人民代表大会</w:t>
      </w:r>
    </w:p>
    <w:p>
      <w:pPr>
        <w:spacing w:line="560" w:lineRule="exact"/>
        <w:jc w:val="center"/>
        <w:rPr>
          <w:rFonts w:ascii="楷体_GB2312" w:eastAsia="楷体_GB2312"/>
          <w:color w:val="000000" w:themeColor="text1"/>
          <w:sz w:val="32"/>
          <w:szCs w:val="32"/>
        </w:rPr>
      </w:pPr>
      <w:r>
        <w:rPr>
          <w:rFonts w:hint="eastAsia" w:ascii="楷体_GB2312" w:eastAsia="楷体_GB2312"/>
          <w:color w:val="000000" w:themeColor="text1"/>
          <w:sz w:val="32"/>
          <w:szCs w:val="32"/>
        </w:rPr>
        <w:t>常务委员会第三十七次会议上）</w:t>
      </w:r>
    </w:p>
    <w:p>
      <w:pPr>
        <w:spacing w:line="560" w:lineRule="exact"/>
        <w:jc w:val="center"/>
        <w:rPr>
          <w:rFonts w:ascii="楷体_GB2312" w:eastAsia="楷体_GB2312"/>
          <w:color w:val="000000" w:themeColor="text1"/>
          <w:sz w:val="32"/>
          <w:szCs w:val="32"/>
        </w:rPr>
      </w:pPr>
      <w:r>
        <w:rPr>
          <w:rFonts w:hint="eastAsia" w:ascii="楷体_GB2312" w:eastAsia="楷体_GB2312"/>
          <w:color w:val="000000" w:themeColor="text1"/>
          <w:sz w:val="32"/>
          <w:szCs w:val="32"/>
        </w:rPr>
        <w:t>平潭县财政金融局局长   林永通</w:t>
      </w:r>
    </w:p>
    <w:p>
      <w:pPr>
        <w:pStyle w:val="4"/>
        <w:widowControl w:val="0"/>
        <w:spacing w:line="560" w:lineRule="exact"/>
        <w:jc w:val="both"/>
        <w:rPr>
          <w:rFonts w:ascii="仿宋_GB2312" w:eastAsia="仿宋_GB2312"/>
          <w:color w:val="000000" w:themeColor="text1"/>
          <w:sz w:val="32"/>
          <w:szCs w:val="32"/>
        </w:rPr>
      </w:pPr>
      <w:r>
        <w:rPr>
          <w:rFonts w:hint="eastAsia" w:eastAsia="仿宋_GB2312"/>
          <w:color w:val="000000" w:themeColor="text1"/>
          <w:sz w:val="32"/>
          <w:szCs w:val="32"/>
        </w:rPr>
        <w:t> </w:t>
      </w:r>
    </w:p>
    <w:p>
      <w:pPr>
        <w:overflowPunct w:val="0"/>
        <w:spacing w:line="560" w:lineRule="exact"/>
        <w:rPr>
          <w:rFonts w:ascii="仿宋_GB2312" w:hAnsi="宋体" w:eastAsia="仿宋_GB2312"/>
          <w:color w:val="000000" w:themeColor="text1"/>
          <w:sz w:val="32"/>
          <w:szCs w:val="32"/>
        </w:rPr>
      </w:pPr>
      <w:r>
        <w:rPr>
          <w:rFonts w:hint="eastAsia" w:ascii="仿宋_GB2312" w:hAnsi="宋体" w:eastAsia="仿宋_GB2312"/>
          <w:color w:val="000000" w:themeColor="text1"/>
          <w:sz w:val="32"/>
          <w:szCs w:val="32"/>
        </w:rPr>
        <w:t>尊敬的主任、各位副主任、各位委员：</w:t>
      </w:r>
    </w:p>
    <w:p>
      <w:pPr>
        <w:overflowPunct w:val="0"/>
        <w:spacing w:line="560" w:lineRule="exact"/>
        <w:ind w:firstLine="636" w:firstLineChars="200"/>
        <w:rPr>
          <w:rFonts w:ascii="仿宋_GB2312" w:hAnsi="宋体" w:eastAsia="仿宋_GB2312"/>
          <w:color w:val="000000" w:themeColor="text1"/>
          <w:sz w:val="32"/>
          <w:szCs w:val="32"/>
        </w:rPr>
      </w:pPr>
      <w:r>
        <w:rPr>
          <w:rFonts w:hint="eastAsia" w:ascii="仿宋_GB2312" w:hAnsi="宋体" w:eastAsia="仿宋_GB2312"/>
          <w:color w:val="000000" w:themeColor="text1"/>
          <w:sz w:val="32"/>
          <w:szCs w:val="32"/>
        </w:rPr>
        <w:t>我受县人民政府委托，向县人大常委会报</w:t>
      </w:r>
      <w:r>
        <w:rPr>
          <w:rFonts w:hint="eastAsia" w:ascii="仿宋_GB2312" w:hAnsi="宋体" w:eastAsia="仿宋_GB2312" w:cs="宋体"/>
          <w:color w:val="000000" w:themeColor="text1"/>
          <w:sz w:val="32"/>
          <w:szCs w:val="32"/>
        </w:rPr>
        <w:t>告</w:t>
      </w:r>
      <w:r>
        <w:rPr>
          <w:rFonts w:hint="eastAsia" w:ascii="仿宋_GB2312" w:hAnsi="宋体" w:eastAsia="仿宋_GB2312"/>
          <w:color w:val="000000" w:themeColor="text1"/>
          <w:sz w:val="32"/>
          <w:szCs w:val="32"/>
        </w:rPr>
        <w:t>2020年平潭财政决算情况，请审查。</w:t>
      </w:r>
    </w:p>
    <w:p>
      <w:pPr>
        <w:widowControl/>
        <w:spacing w:line="560" w:lineRule="exact"/>
        <w:ind w:firstLine="636" w:firstLineChars="200"/>
        <w:rPr>
          <w:rFonts w:ascii="仿宋_GB2312" w:hAnsi="微软雅黑" w:eastAsia="仿宋_GB2312" w:cs="宋体"/>
          <w:kern w:val="0"/>
          <w:sz w:val="32"/>
          <w:szCs w:val="32"/>
        </w:rPr>
      </w:pPr>
      <w:r>
        <w:rPr>
          <w:rFonts w:hint="eastAsia" w:ascii="仿宋_GB2312" w:hAnsi="黑体" w:eastAsia="仿宋_GB2312"/>
          <w:color w:val="000000" w:themeColor="text1"/>
          <w:sz w:val="32"/>
          <w:szCs w:val="32"/>
        </w:rPr>
        <w:t>2020年</w:t>
      </w:r>
      <w:r>
        <w:rPr>
          <w:rFonts w:hint="eastAsia" w:ascii="仿宋_GB2312" w:hAnsi="宋体" w:eastAsia="仿宋_GB2312" w:cs="宋体"/>
          <w:color w:val="000000"/>
          <w:kern w:val="0"/>
          <w:sz w:val="32"/>
          <w:szCs w:val="32"/>
        </w:rPr>
        <w:t>是全面建成小康社会和“十三五”规划收官之年，面对突如其来的新冠肺炎疫情，财政工作困难之多、挑战之大，是前所未有的</w:t>
      </w:r>
      <w:r>
        <w:rPr>
          <w:rFonts w:hint="eastAsia" w:ascii="仿宋_GB2312" w:hAnsi="黑体" w:eastAsia="仿宋_GB2312"/>
          <w:color w:val="000000" w:themeColor="text1"/>
          <w:spacing w:val="-6"/>
          <w:sz w:val="32"/>
          <w:szCs w:val="32"/>
        </w:rPr>
        <w:t>。严峻形势面前，各部门</w:t>
      </w:r>
      <w:r>
        <w:rPr>
          <w:rFonts w:hint="eastAsia" w:ascii="仿宋_GB2312" w:hAnsi="微软雅黑" w:eastAsia="仿宋_GB2312" w:cs="宋体"/>
          <w:kern w:val="0"/>
          <w:sz w:val="32"/>
          <w:szCs w:val="32"/>
        </w:rPr>
        <w:t>坚持以习近平新时代中国特色社会主义思想为指导，全面贯彻党的十九大和十九届二中、三中、四中、五中全会精神，增强“四个意识”、坚定“四个自信”、做到“两个维护”，按照实验区党工委、管委会和县委、县政府决策部署，严格执行县人大十七届五次会议审查批准的预算，围绕“发扬斗争精神，深化‘八大工程’”，统筹推进疫情防控和经济社会发展，高质量完成全年目标任务，为推进“一岛两窗三区”建设和“十四五”开局奠定了坚实的基础。在此基础上，财政改革发展各项工作取得新进展，决算情况总体较好。根据预算法有关规定，重点报告以下情况：</w:t>
      </w:r>
    </w:p>
    <w:p>
      <w:pPr>
        <w:overflowPunct w:val="0"/>
        <w:spacing w:line="560" w:lineRule="exact"/>
        <w:ind w:firstLine="636" w:firstLineChars="200"/>
        <w:rPr>
          <w:rFonts w:ascii="黑体" w:hAnsi="黑体" w:eastAsia="黑体"/>
          <w:color w:val="000000" w:themeColor="text1"/>
          <w:sz w:val="32"/>
          <w:szCs w:val="32"/>
        </w:rPr>
      </w:pPr>
      <w:r>
        <w:rPr>
          <w:rFonts w:hint="eastAsia" w:ascii="黑体" w:hAnsi="黑体" w:eastAsia="黑体"/>
          <w:color w:val="000000" w:themeColor="text1"/>
          <w:sz w:val="32"/>
          <w:szCs w:val="32"/>
        </w:rPr>
        <w:t>一、2020年全区（县）财政收支决算情况</w:t>
      </w:r>
    </w:p>
    <w:p>
      <w:pPr>
        <w:shd w:val="clear" w:color="auto" w:fill="FFFFFF"/>
        <w:overflowPunct w:val="0"/>
        <w:spacing w:line="560" w:lineRule="exact"/>
        <w:ind w:firstLine="636" w:firstLineChars="200"/>
        <w:rPr>
          <w:rFonts w:ascii="楷体" w:hAnsi="楷体" w:eastAsia="楷体" w:cs="宋体"/>
          <w:color w:val="000000" w:themeColor="text1"/>
          <w:sz w:val="32"/>
          <w:szCs w:val="32"/>
        </w:rPr>
      </w:pPr>
      <w:r>
        <w:rPr>
          <w:rFonts w:hint="eastAsia" w:ascii="楷体" w:hAnsi="楷体" w:eastAsia="楷体" w:cs="宋体"/>
          <w:color w:val="000000" w:themeColor="text1"/>
          <w:sz w:val="32"/>
          <w:szCs w:val="32"/>
        </w:rPr>
        <w:t>（一）全（区）县一般公共预算收支决算情况</w:t>
      </w:r>
    </w:p>
    <w:p>
      <w:pPr>
        <w:overflowPunct w:val="0"/>
        <w:spacing w:line="560" w:lineRule="exact"/>
        <w:ind w:firstLine="636" w:firstLineChars="200"/>
        <w:rPr>
          <w:rFonts w:ascii="仿宋_GB2312" w:hAnsi="仿宋" w:eastAsia="仿宋_GB2312" w:cs="宋体"/>
          <w:bCs/>
          <w:color w:val="000000" w:themeColor="text1"/>
          <w:sz w:val="32"/>
          <w:szCs w:val="32"/>
        </w:rPr>
      </w:pPr>
      <w:r>
        <w:rPr>
          <w:rFonts w:hint="eastAsia" w:ascii="仿宋_GB2312" w:eastAsia="仿宋_GB2312"/>
          <w:color w:val="000000" w:themeColor="text1"/>
          <w:sz w:val="32"/>
          <w:szCs w:val="32"/>
        </w:rPr>
        <w:t>全区（县）一般公共预算收入</w:t>
      </w:r>
      <w:r>
        <w:rPr>
          <w:rFonts w:hint="eastAsia" w:ascii="仿宋_GB2312" w:hAnsi="宋体" w:eastAsia="仿宋_GB2312"/>
          <w:color w:val="000000" w:themeColor="text1"/>
          <w:sz w:val="32"/>
          <w:szCs w:val="32"/>
        </w:rPr>
        <w:t>546036万元，完成预算的107.2</w:t>
      </w:r>
      <w:r>
        <w:rPr>
          <w:rFonts w:hint="eastAsia" w:ascii="仿宋_GB2312" w:eastAsia="仿宋_GB2312"/>
          <w:color w:val="000000" w:themeColor="text1"/>
          <w:sz w:val="32"/>
          <w:szCs w:val="32"/>
        </w:rPr>
        <w:t>%，</w:t>
      </w:r>
      <w:r>
        <w:rPr>
          <w:rFonts w:hint="eastAsia" w:ascii="仿宋_GB2312" w:hAnsi="宋体" w:eastAsia="仿宋_GB2312"/>
          <w:color w:val="000000" w:themeColor="text1"/>
          <w:sz w:val="32"/>
          <w:szCs w:val="32"/>
        </w:rPr>
        <w:t>增长20%，其中，税收收入344081万元，完成预算的105.5%，增长24.2%；非税收入201955万元，完成预算的110.1%，增长13.4%。加上</w:t>
      </w:r>
      <w:r>
        <w:rPr>
          <w:rFonts w:hint="eastAsia" w:ascii="仿宋_GB2312" w:hAnsi="仿宋" w:eastAsia="仿宋_GB2312" w:cs="宋体"/>
          <w:bCs/>
          <w:color w:val="000000" w:themeColor="text1"/>
          <w:sz w:val="32"/>
          <w:szCs w:val="32"/>
        </w:rPr>
        <w:t xml:space="preserve">省级补助收入、一般债务转贷收入、调入预算稳定调节基金、上年结转收入、调入资金等635008万元，收入总量为1181044万元。     </w:t>
      </w:r>
    </w:p>
    <w:p>
      <w:pPr>
        <w:overflowPunct w:val="0"/>
        <w:spacing w:line="560" w:lineRule="exact"/>
        <w:ind w:firstLine="636" w:firstLineChars="200"/>
        <w:rPr>
          <w:rFonts w:ascii="仿宋_GB2312" w:hAnsi="仿宋" w:eastAsia="仿宋_GB2312" w:cs="宋体"/>
          <w:bCs/>
          <w:color w:val="000000" w:themeColor="text1"/>
          <w:sz w:val="32"/>
          <w:szCs w:val="32"/>
        </w:rPr>
      </w:pPr>
      <w:r>
        <w:rPr>
          <w:rFonts w:hint="eastAsia" w:ascii="仿宋_GB2312" w:eastAsia="仿宋_GB2312"/>
          <w:color w:val="000000" w:themeColor="text1"/>
          <w:sz w:val="32"/>
          <w:szCs w:val="32"/>
        </w:rPr>
        <w:t>全区（县）</w:t>
      </w:r>
      <w:r>
        <w:rPr>
          <w:rFonts w:hint="eastAsia" w:ascii="仿宋_GB2312" w:hAnsi="仿宋" w:eastAsia="仿宋_GB2312" w:cs="宋体"/>
          <w:bCs/>
          <w:color w:val="000000" w:themeColor="text1"/>
          <w:sz w:val="32"/>
          <w:szCs w:val="32"/>
        </w:rPr>
        <w:t>一般公共预算支出</w:t>
      </w:r>
      <w:r>
        <w:rPr>
          <w:rFonts w:hint="eastAsia" w:ascii="仿宋_GB2312" w:eastAsia="仿宋_GB2312"/>
          <w:color w:val="000000" w:themeColor="text1"/>
          <w:sz w:val="32"/>
          <w:szCs w:val="32"/>
        </w:rPr>
        <w:t>960534万元</w:t>
      </w:r>
      <w:r>
        <w:rPr>
          <w:rFonts w:hint="eastAsia" w:ascii="仿宋_GB2312" w:hAnsi="仿宋" w:eastAsia="仿宋_GB2312" w:cs="宋体"/>
          <w:bCs/>
          <w:color w:val="000000" w:themeColor="text1"/>
          <w:sz w:val="32"/>
          <w:szCs w:val="32"/>
        </w:rPr>
        <w:t>，</w:t>
      </w:r>
      <w:r>
        <w:rPr>
          <w:rFonts w:hint="eastAsia" w:ascii="仿宋_GB2312" w:eastAsia="仿宋_GB2312"/>
          <w:color w:val="000000" w:themeColor="text1"/>
          <w:sz w:val="32"/>
          <w:szCs w:val="32"/>
        </w:rPr>
        <w:t>完成预算的97.4%，增长0.8%</w:t>
      </w:r>
      <w:r>
        <w:rPr>
          <w:rFonts w:hint="eastAsia" w:ascii="仿宋_GB2312" w:hAnsi="仿宋" w:eastAsia="仿宋_GB2312" w:cs="宋体"/>
          <w:bCs/>
          <w:color w:val="000000" w:themeColor="text1"/>
          <w:sz w:val="32"/>
          <w:szCs w:val="32"/>
        </w:rPr>
        <w:t>。加上债务还本支出、补充预算稳定调节基金、调出资金、上解省级支出等195225万元，支出总量为1155759万元。</w:t>
      </w:r>
    </w:p>
    <w:p>
      <w:pPr>
        <w:overflowPunct w:val="0"/>
        <w:spacing w:line="560" w:lineRule="exact"/>
        <w:ind w:firstLine="636" w:firstLineChars="200"/>
        <w:rPr>
          <w:rFonts w:ascii="仿宋_GB2312" w:hAnsi="仿宋" w:eastAsia="仿宋_GB2312" w:cs="宋体"/>
          <w:bCs/>
          <w:color w:val="000000" w:themeColor="text1"/>
          <w:sz w:val="32"/>
          <w:szCs w:val="32"/>
        </w:rPr>
      </w:pPr>
      <w:r>
        <w:rPr>
          <w:rFonts w:hint="eastAsia" w:ascii="仿宋_GB2312" w:hAnsi="仿宋" w:eastAsia="仿宋_GB2312" w:cs="宋体"/>
          <w:bCs/>
          <w:color w:val="000000" w:themeColor="text1"/>
          <w:sz w:val="32"/>
          <w:szCs w:val="32"/>
        </w:rPr>
        <w:t>收支相抵，结转下年支出25285万元。</w:t>
      </w:r>
      <w:r>
        <w:rPr>
          <w:rFonts w:hint="eastAsia" w:ascii="仿宋_GB2312" w:hAnsi="宋体" w:eastAsia="仿宋_GB2312"/>
          <w:color w:val="000000" w:themeColor="text1"/>
          <w:sz w:val="32"/>
          <w:szCs w:val="32"/>
        </w:rPr>
        <w:t>与向县十七届人大五次会议报告的快报数相比，</w:t>
      </w:r>
      <w:r>
        <w:rPr>
          <w:rFonts w:hint="eastAsia" w:ascii="仿宋_GB2312" w:eastAsia="仿宋_GB2312"/>
          <w:color w:val="000000" w:themeColor="text1"/>
          <w:sz w:val="32"/>
          <w:szCs w:val="32"/>
        </w:rPr>
        <w:t>全区（县）收入决算数不变；全区（县）支出决算数少72万元，主要是各片区管理局上下级结算调整支出。</w:t>
      </w:r>
    </w:p>
    <w:p>
      <w:pPr>
        <w:shd w:val="clear" w:color="auto" w:fill="FFFFFF"/>
        <w:overflowPunct w:val="0"/>
        <w:spacing w:line="560" w:lineRule="exact"/>
        <w:ind w:firstLine="636" w:firstLineChars="200"/>
        <w:rPr>
          <w:rFonts w:ascii="楷体" w:hAnsi="楷体" w:eastAsia="楷体" w:cs="宋体"/>
          <w:color w:val="000000" w:themeColor="text1"/>
          <w:sz w:val="32"/>
          <w:szCs w:val="32"/>
        </w:rPr>
      </w:pPr>
      <w:r>
        <w:rPr>
          <w:rFonts w:hint="eastAsia" w:ascii="楷体" w:hAnsi="楷体" w:eastAsia="楷体" w:cs="宋体"/>
          <w:color w:val="000000" w:themeColor="text1"/>
          <w:sz w:val="32"/>
          <w:szCs w:val="32"/>
        </w:rPr>
        <w:t>（二）全（区）县政府性基金收支决算情况</w:t>
      </w:r>
    </w:p>
    <w:p>
      <w:pPr>
        <w:shd w:val="clear" w:color="auto" w:fill="FFFFFF"/>
        <w:overflowPunct w:val="0"/>
        <w:spacing w:line="560" w:lineRule="exact"/>
        <w:ind w:firstLine="636" w:firstLineChars="200"/>
        <w:rPr>
          <w:rFonts w:ascii="仿宋_GB2312" w:hAnsi="楷体" w:eastAsia="仿宋_GB2312" w:cs="宋体"/>
          <w:sz w:val="32"/>
          <w:szCs w:val="32"/>
        </w:rPr>
      </w:pPr>
      <w:r>
        <w:rPr>
          <w:rFonts w:hint="eastAsia" w:ascii="仿宋_GB2312" w:hAnsi="楷体" w:eastAsia="仿宋_GB2312" w:cs="宋体"/>
          <w:sz w:val="32"/>
          <w:szCs w:val="32"/>
        </w:rPr>
        <w:t>全区（县）政府性基金收入120624万元，完成预算的14.8%，下降84.2%，其中，国有土地使用权出让收入79809万元（已扣除转列一般公共预算的教育资金收入和农田水利建设资金收入），完成预算的9.9%，下降89.3%，主要原因是受新冠肺炎疫情冲击，房地产市场成交清淡。加上债务转贷收入、省级补助收入、上年结余收入、调入资金等1084261万元，收入总量为1204885万元。</w:t>
      </w:r>
    </w:p>
    <w:p>
      <w:pPr>
        <w:shd w:val="clear" w:color="auto" w:fill="FFFFFF"/>
        <w:overflowPunct w:val="0"/>
        <w:spacing w:line="560" w:lineRule="exact"/>
        <w:ind w:firstLine="636" w:firstLineChars="200"/>
        <w:rPr>
          <w:rFonts w:ascii="仿宋_GB2312" w:hAnsi="楷体" w:eastAsia="仿宋_GB2312" w:cs="宋体"/>
          <w:sz w:val="32"/>
          <w:szCs w:val="32"/>
        </w:rPr>
      </w:pPr>
      <w:r>
        <w:rPr>
          <w:rFonts w:hint="eastAsia" w:ascii="仿宋_GB2312" w:hAnsi="楷体" w:eastAsia="仿宋_GB2312" w:cs="宋体"/>
          <w:sz w:val="32"/>
          <w:szCs w:val="32"/>
        </w:rPr>
        <w:t>全区（县）政府性基金支出476123万元，完成预算的98.9%，下降33.5%。加上债务还本支出、上解上级支出、调出资金等723412万元，支出总量为1199535万元。</w:t>
      </w:r>
    </w:p>
    <w:p>
      <w:pPr>
        <w:overflowPunct w:val="0"/>
        <w:spacing w:line="560" w:lineRule="exact"/>
        <w:ind w:firstLine="636" w:firstLineChars="200"/>
        <w:rPr>
          <w:rFonts w:ascii="仿宋_GB2312" w:hAnsi="仿宋" w:eastAsia="仿宋_GB2312" w:cs="宋体"/>
          <w:bCs/>
          <w:color w:val="000000" w:themeColor="text1"/>
          <w:sz w:val="32"/>
          <w:szCs w:val="32"/>
        </w:rPr>
      </w:pPr>
      <w:r>
        <w:rPr>
          <w:rFonts w:hint="eastAsia" w:ascii="仿宋_GB2312" w:hAnsi="仿宋" w:eastAsia="仿宋_GB2312" w:cs="宋体"/>
          <w:bCs/>
          <w:color w:val="000000" w:themeColor="text1"/>
          <w:sz w:val="32"/>
          <w:szCs w:val="32"/>
        </w:rPr>
        <w:t>收支相抵，结转下年支出5350万元。</w:t>
      </w:r>
      <w:r>
        <w:rPr>
          <w:rFonts w:hint="eastAsia" w:ascii="仿宋_GB2312" w:hAnsi="宋体" w:eastAsia="仿宋_GB2312"/>
          <w:color w:val="000000" w:themeColor="text1"/>
          <w:sz w:val="32"/>
          <w:szCs w:val="32"/>
        </w:rPr>
        <w:t>与向县十七届人大五次会议报告的快报数相比，</w:t>
      </w:r>
      <w:r>
        <w:rPr>
          <w:rFonts w:hint="eastAsia" w:ascii="仿宋_GB2312" w:hAnsi="楷体" w:eastAsia="仿宋_GB2312" w:cs="宋体"/>
          <w:sz w:val="32"/>
          <w:szCs w:val="32"/>
        </w:rPr>
        <w:t>全区（县）</w:t>
      </w:r>
      <w:r>
        <w:rPr>
          <w:rFonts w:hint="eastAsia" w:ascii="仿宋_GB2312" w:hAnsi="宋体" w:eastAsia="仿宋_GB2312"/>
          <w:color w:val="000000" w:themeColor="text1"/>
          <w:sz w:val="32"/>
          <w:szCs w:val="32"/>
        </w:rPr>
        <w:t>收支决算数均不变。</w:t>
      </w:r>
    </w:p>
    <w:p>
      <w:pPr>
        <w:shd w:val="clear" w:color="auto" w:fill="FFFFFF"/>
        <w:overflowPunct w:val="0"/>
        <w:spacing w:line="560" w:lineRule="exact"/>
        <w:ind w:firstLine="636" w:firstLineChars="200"/>
        <w:rPr>
          <w:rFonts w:ascii="楷体" w:hAnsi="楷体" w:eastAsia="楷体" w:cs="宋体"/>
          <w:color w:val="000000" w:themeColor="text1"/>
          <w:sz w:val="32"/>
          <w:szCs w:val="32"/>
        </w:rPr>
      </w:pPr>
      <w:r>
        <w:rPr>
          <w:rFonts w:hint="eastAsia" w:ascii="楷体" w:hAnsi="楷体" w:eastAsia="楷体" w:cs="宋体"/>
          <w:color w:val="000000" w:themeColor="text1"/>
          <w:sz w:val="32"/>
          <w:szCs w:val="32"/>
        </w:rPr>
        <w:t>（三）全（区）县国有资本经营收支决算情况</w:t>
      </w:r>
    </w:p>
    <w:p>
      <w:pPr>
        <w:overflowPunct w:val="0"/>
        <w:spacing w:line="560" w:lineRule="exact"/>
        <w:ind w:firstLine="636" w:firstLineChars="200"/>
        <w:rPr>
          <w:rFonts w:ascii="仿宋_GB2312" w:hAnsi="宋体" w:eastAsia="仿宋_GB2312"/>
          <w:color w:val="000000" w:themeColor="text1"/>
          <w:sz w:val="32"/>
          <w:szCs w:val="32"/>
        </w:rPr>
      </w:pPr>
      <w:r>
        <w:rPr>
          <w:rFonts w:hint="eastAsia" w:ascii="仿宋_GB2312" w:hAnsi="仿宋" w:eastAsia="仿宋_GB2312" w:cs="宋体"/>
          <w:bCs/>
          <w:color w:val="000000" w:themeColor="text1"/>
          <w:sz w:val="32"/>
          <w:szCs w:val="32"/>
        </w:rPr>
        <w:t>全</w:t>
      </w:r>
      <w:r>
        <w:rPr>
          <w:rFonts w:hint="eastAsia" w:ascii="仿宋_GB2312" w:hAnsi="宋体" w:eastAsia="仿宋_GB2312"/>
          <w:color w:val="000000" w:themeColor="text1"/>
          <w:sz w:val="32"/>
          <w:szCs w:val="32"/>
        </w:rPr>
        <w:t>区（县）</w:t>
      </w:r>
      <w:r>
        <w:rPr>
          <w:rFonts w:hint="eastAsia" w:ascii="仿宋_GB2312" w:hAnsi="仿宋" w:eastAsia="仿宋_GB2312" w:cs="宋体"/>
          <w:bCs/>
          <w:color w:val="000000" w:themeColor="text1"/>
          <w:sz w:val="32"/>
          <w:szCs w:val="32"/>
        </w:rPr>
        <w:t>国有资本经营收入</w:t>
      </w:r>
      <w:r>
        <w:rPr>
          <w:rFonts w:hint="eastAsia" w:ascii="仿宋_GB2312" w:hAnsi="宋体" w:eastAsia="仿宋_GB2312"/>
          <w:color w:val="000000" w:themeColor="text1"/>
          <w:sz w:val="32"/>
          <w:szCs w:val="32"/>
        </w:rPr>
        <w:t>140278万元</w:t>
      </w:r>
      <w:r>
        <w:rPr>
          <w:rFonts w:hint="eastAsia" w:ascii="仿宋_GB2312" w:hAnsi="仿宋" w:eastAsia="仿宋_GB2312" w:cs="宋体"/>
          <w:bCs/>
          <w:color w:val="000000" w:themeColor="text1"/>
          <w:sz w:val="32"/>
          <w:szCs w:val="32"/>
        </w:rPr>
        <w:t>，完成预算的</w:t>
      </w:r>
      <w:r>
        <w:rPr>
          <w:rFonts w:hint="eastAsia" w:ascii="仿宋_GB2312" w:hAnsi="宋体" w:eastAsia="仿宋_GB2312"/>
          <w:color w:val="000000" w:themeColor="text1"/>
          <w:sz w:val="32"/>
          <w:szCs w:val="32"/>
        </w:rPr>
        <w:t>73.7%，增长20.2%，主要是</w:t>
      </w:r>
      <w:r>
        <w:rPr>
          <w:rFonts w:hint="eastAsia" w:ascii="仿宋_GB2312" w:eastAsia="仿宋_GB2312"/>
          <w:color w:val="000000" w:themeColor="text1"/>
          <w:spacing w:val="6"/>
          <w:sz w:val="32"/>
          <w:szCs w:val="32"/>
        </w:rPr>
        <w:t>ROT模式盘活资金</w:t>
      </w:r>
      <w:r>
        <w:rPr>
          <w:rFonts w:hint="eastAsia" w:ascii="仿宋_GB2312" w:hAnsi="宋体" w:eastAsia="仿宋_GB2312"/>
          <w:color w:val="000000" w:themeColor="text1"/>
          <w:sz w:val="32"/>
          <w:szCs w:val="32"/>
        </w:rPr>
        <w:t>。加上省级补助收入6万元，收入总量140284万元。</w:t>
      </w:r>
      <w:r>
        <w:rPr>
          <w:rFonts w:hint="eastAsia" w:ascii="仿宋_GB2312" w:hAnsi="仿宋" w:eastAsia="仿宋_GB2312" w:cs="宋体"/>
          <w:bCs/>
          <w:color w:val="000000" w:themeColor="text1"/>
          <w:sz w:val="32"/>
          <w:szCs w:val="32"/>
        </w:rPr>
        <w:t>全</w:t>
      </w:r>
      <w:r>
        <w:rPr>
          <w:rFonts w:hint="eastAsia" w:ascii="仿宋_GB2312" w:hAnsi="宋体" w:eastAsia="仿宋_GB2312"/>
          <w:color w:val="000000" w:themeColor="text1"/>
          <w:sz w:val="32"/>
          <w:szCs w:val="32"/>
        </w:rPr>
        <w:t>区（县）</w:t>
      </w:r>
      <w:r>
        <w:rPr>
          <w:rFonts w:hint="eastAsia" w:ascii="仿宋_GB2312" w:hAnsi="仿宋" w:eastAsia="仿宋_GB2312" w:cs="宋体"/>
          <w:bCs/>
          <w:color w:val="000000" w:themeColor="text1"/>
          <w:sz w:val="32"/>
          <w:szCs w:val="32"/>
        </w:rPr>
        <w:t>国有资本经营支出</w:t>
      </w:r>
      <w:r>
        <w:rPr>
          <w:rFonts w:hint="eastAsia" w:ascii="仿宋_GB2312" w:hAnsi="宋体" w:eastAsia="仿宋_GB2312"/>
          <w:color w:val="000000" w:themeColor="text1"/>
          <w:sz w:val="32"/>
          <w:szCs w:val="32"/>
        </w:rPr>
        <w:t>1002万元</w:t>
      </w:r>
      <w:r>
        <w:rPr>
          <w:rFonts w:hint="eastAsia" w:ascii="仿宋_GB2312" w:hAnsi="仿宋" w:eastAsia="仿宋_GB2312" w:cs="宋体"/>
          <w:bCs/>
          <w:color w:val="000000" w:themeColor="text1"/>
          <w:sz w:val="32"/>
          <w:szCs w:val="32"/>
        </w:rPr>
        <w:t>，完成预算的100%，增长29.3%。加上调出资金139276万元，支出总量140278万元。收支相抵，结转下年支出6万元。</w:t>
      </w:r>
      <w:r>
        <w:rPr>
          <w:rFonts w:hint="eastAsia" w:ascii="仿宋_GB2312" w:hAnsi="宋体" w:eastAsia="仿宋_GB2312"/>
          <w:color w:val="000000" w:themeColor="text1"/>
          <w:sz w:val="32"/>
          <w:szCs w:val="32"/>
        </w:rPr>
        <w:t>与向县十七届人大五次会议报告的快报数相比，</w:t>
      </w:r>
      <w:r>
        <w:rPr>
          <w:rFonts w:hint="eastAsia" w:ascii="仿宋_GB2312" w:hAnsi="仿宋" w:eastAsia="仿宋_GB2312" w:cs="宋体"/>
          <w:bCs/>
          <w:color w:val="000000" w:themeColor="text1"/>
          <w:sz w:val="32"/>
          <w:szCs w:val="32"/>
        </w:rPr>
        <w:t>全</w:t>
      </w:r>
      <w:r>
        <w:rPr>
          <w:rFonts w:hint="eastAsia" w:ascii="仿宋_GB2312" w:hAnsi="宋体" w:eastAsia="仿宋_GB2312"/>
          <w:color w:val="000000" w:themeColor="text1"/>
          <w:sz w:val="32"/>
          <w:szCs w:val="32"/>
        </w:rPr>
        <w:t>区（县）收支决算数均增加6万元，主要是与省财政上下级结算增加补助收入。</w:t>
      </w:r>
    </w:p>
    <w:p>
      <w:pPr>
        <w:shd w:val="clear" w:color="auto" w:fill="FFFFFF"/>
        <w:overflowPunct w:val="0"/>
        <w:spacing w:line="560" w:lineRule="exact"/>
        <w:ind w:firstLine="636" w:firstLineChars="200"/>
        <w:rPr>
          <w:rFonts w:ascii="楷体" w:hAnsi="楷体" w:eastAsia="楷体" w:cs="宋体"/>
          <w:color w:val="000000" w:themeColor="text1"/>
          <w:sz w:val="32"/>
          <w:szCs w:val="32"/>
        </w:rPr>
      </w:pPr>
      <w:r>
        <w:rPr>
          <w:rFonts w:hint="eastAsia" w:ascii="楷体" w:hAnsi="楷体" w:eastAsia="楷体" w:cs="宋体"/>
          <w:color w:val="000000" w:themeColor="text1"/>
          <w:sz w:val="32"/>
          <w:szCs w:val="32"/>
        </w:rPr>
        <w:t>（四）全（区）县社会保险基金收支决算情况</w:t>
      </w:r>
    </w:p>
    <w:p>
      <w:pPr>
        <w:overflowPunct w:val="0"/>
        <w:spacing w:line="560" w:lineRule="exact"/>
        <w:ind w:firstLine="636" w:firstLineChars="200"/>
        <w:rPr>
          <w:rFonts w:ascii="仿宋_GB2312" w:hAnsi="宋体" w:eastAsia="仿宋_GB2312"/>
          <w:color w:val="000000" w:themeColor="text1"/>
          <w:sz w:val="32"/>
          <w:szCs w:val="32"/>
        </w:rPr>
      </w:pPr>
      <w:r>
        <w:rPr>
          <w:rFonts w:hint="eastAsia" w:ascii="仿宋_GB2312" w:hAnsi="仿宋" w:eastAsia="仿宋_GB2312" w:cs="宋体"/>
          <w:bCs/>
          <w:color w:val="000000" w:themeColor="text1"/>
          <w:sz w:val="32"/>
          <w:szCs w:val="32"/>
        </w:rPr>
        <w:t>全</w:t>
      </w:r>
      <w:r>
        <w:rPr>
          <w:rFonts w:hint="eastAsia" w:ascii="仿宋_GB2312" w:hAnsi="宋体" w:eastAsia="仿宋_GB2312"/>
          <w:color w:val="000000" w:themeColor="text1"/>
          <w:sz w:val="32"/>
          <w:szCs w:val="32"/>
        </w:rPr>
        <w:t>区（县）</w:t>
      </w:r>
      <w:r>
        <w:rPr>
          <w:rFonts w:hint="eastAsia" w:ascii="仿宋_GB2312" w:hAnsi="仿宋" w:eastAsia="仿宋_GB2312" w:cs="宋体"/>
          <w:bCs/>
          <w:color w:val="000000" w:themeColor="text1"/>
          <w:sz w:val="32"/>
          <w:szCs w:val="32"/>
        </w:rPr>
        <w:t>社会保险基金收入</w:t>
      </w:r>
      <w:r>
        <w:rPr>
          <w:rFonts w:hint="eastAsia" w:ascii="仿宋_GB2312" w:hAnsi="宋体" w:eastAsia="仿宋_GB2312"/>
          <w:color w:val="000000" w:themeColor="text1"/>
          <w:sz w:val="32"/>
          <w:szCs w:val="32"/>
        </w:rPr>
        <w:t>106757万元</w:t>
      </w:r>
      <w:r>
        <w:rPr>
          <w:rFonts w:hint="eastAsia" w:ascii="仿宋_GB2312" w:hAnsi="仿宋" w:eastAsia="仿宋_GB2312" w:cs="宋体"/>
          <w:bCs/>
          <w:color w:val="000000" w:themeColor="text1"/>
          <w:sz w:val="32"/>
          <w:szCs w:val="32"/>
        </w:rPr>
        <w:t>，完成预算的99%，增长8.6%。全</w:t>
      </w:r>
      <w:r>
        <w:rPr>
          <w:rFonts w:hint="eastAsia" w:ascii="仿宋_GB2312" w:hAnsi="宋体" w:eastAsia="仿宋_GB2312"/>
          <w:color w:val="000000" w:themeColor="text1"/>
          <w:sz w:val="32"/>
          <w:szCs w:val="32"/>
        </w:rPr>
        <w:t>区（县）</w:t>
      </w:r>
      <w:r>
        <w:rPr>
          <w:rFonts w:hint="eastAsia" w:ascii="仿宋_GB2312" w:hAnsi="仿宋" w:eastAsia="仿宋_GB2312" w:cs="宋体"/>
          <w:bCs/>
          <w:color w:val="000000" w:themeColor="text1"/>
          <w:sz w:val="32"/>
          <w:szCs w:val="32"/>
        </w:rPr>
        <w:t>社会保险基金支出</w:t>
      </w:r>
      <w:r>
        <w:rPr>
          <w:rFonts w:hint="eastAsia" w:ascii="仿宋_GB2312" w:hAnsi="宋体" w:eastAsia="仿宋_GB2312"/>
          <w:color w:val="000000" w:themeColor="text1"/>
          <w:sz w:val="32"/>
          <w:szCs w:val="32"/>
        </w:rPr>
        <w:t>102815万元</w:t>
      </w:r>
      <w:r>
        <w:rPr>
          <w:rFonts w:hint="eastAsia" w:ascii="仿宋_GB2312" w:hAnsi="仿宋" w:eastAsia="仿宋_GB2312" w:cs="宋体"/>
          <w:bCs/>
          <w:color w:val="000000" w:themeColor="text1"/>
          <w:sz w:val="32"/>
          <w:szCs w:val="32"/>
        </w:rPr>
        <w:t>，完成预算的108.1%，增长12.5%。</w:t>
      </w:r>
      <w:r>
        <w:rPr>
          <w:rFonts w:hint="eastAsia" w:ascii="仿宋_GB2312" w:hAnsi="仿宋" w:eastAsia="仿宋_GB2312" w:cs="宋体"/>
          <w:bCs/>
          <w:sz w:val="32"/>
          <w:szCs w:val="32"/>
        </w:rPr>
        <w:t>当年收支结余</w:t>
      </w:r>
      <w:r>
        <w:rPr>
          <w:rFonts w:hint="eastAsia" w:ascii="仿宋_GB2312" w:hAnsi="宋体" w:eastAsia="仿宋_GB2312"/>
          <w:sz w:val="32"/>
          <w:szCs w:val="32"/>
        </w:rPr>
        <w:t>3942万元，年末滚存结余102698万元</w:t>
      </w:r>
      <w:r>
        <w:rPr>
          <w:rFonts w:hint="eastAsia" w:ascii="仿宋_GB2312" w:hAnsi="仿宋" w:eastAsia="仿宋_GB2312" w:cs="宋体"/>
          <w:bCs/>
          <w:sz w:val="32"/>
          <w:szCs w:val="32"/>
        </w:rPr>
        <w:t>。</w:t>
      </w:r>
      <w:r>
        <w:rPr>
          <w:rFonts w:hint="eastAsia" w:ascii="仿宋_GB2312" w:hAnsi="宋体" w:eastAsia="仿宋_GB2312"/>
          <w:color w:val="000000" w:themeColor="text1"/>
          <w:sz w:val="32"/>
          <w:szCs w:val="32"/>
        </w:rPr>
        <w:t>与向县十七届人大五次会议报告的快报数相比，</w:t>
      </w:r>
      <w:r>
        <w:rPr>
          <w:rFonts w:hint="eastAsia" w:ascii="仿宋_GB2312" w:hAnsi="仿宋" w:eastAsia="仿宋_GB2312" w:cs="宋体"/>
          <w:bCs/>
          <w:color w:val="000000" w:themeColor="text1"/>
          <w:sz w:val="32"/>
          <w:szCs w:val="32"/>
        </w:rPr>
        <w:t>全</w:t>
      </w:r>
      <w:r>
        <w:rPr>
          <w:rFonts w:hint="eastAsia" w:ascii="仿宋_GB2312" w:hAnsi="宋体" w:eastAsia="仿宋_GB2312"/>
          <w:color w:val="000000" w:themeColor="text1"/>
          <w:sz w:val="32"/>
          <w:szCs w:val="32"/>
        </w:rPr>
        <w:t>区（县）收入决算数减少618万元，主要是对账核减收入，</w:t>
      </w:r>
      <w:r>
        <w:rPr>
          <w:rFonts w:hint="eastAsia" w:ascii="仿宋_GB2312" w:hAnsi="仿宋" w:eastAsia="仿宋_GB2312" w:cs="宋体"/>
          <w:bCs/>
          <w:color w:val="000000" w:themeColor="text1"/>
          <w:sz w:val="32"/>
          <w:szCs w:val="32"/>
        </w:rPr>
        <w:t>全</w:t>
      </w:r>
      <w:r>
        <w:rPr>
          <w:rFonts w:hint="eastAsia" w:ascii="仿宋_GB2312" w:hAnsi="宋体" w:eastAsia="仿宋_GB2312"/>
          <w:color w:val="000000" w:themeColor="text1"/>
          <w:sz w:val="32"/>
          <w:szCs w:val="32"/>
        </w:rPr>
        <w:t>区（县）支出决算数增加5358万元，主要是对账核增支出。</w:t>
      </w:r>
    </w:p>
    <w:p>
      <w:pPr>
        <w:overflowPunct w:val="0"/>
        <w:spacing w:line="560" w:lineRule="exact"/>
        <w:ind w:firstLine="636" w:firstLineChars="200"/>
        <w:rPr>
          <w:rFonts w:ascii="黑体" w:hAnsi="黑体" w:eastAsia="黑体"/>
          <w:color w:val="000000" w:themeColor="text1"/>
          <w:sz w:val="32"/>
          <w:szCs w:val="32"/>
        </w:rPr>
      </w:pPr>
      <w:r>
        <w:rPr>
          <w:rFonts w:hint="eastAsia" w:ascii="黑体" w:hAnsi="黑体" w:eastAsia="黑体"/>
          <w:color w:val="000000" w:themeColor="text1"/>
          <w:sz w:val="32"/>
          <w:szCs w:val="32"/>
        </w:rPr>
        <w:t>二、2020年区（县）本级财政收支决算情况</w:t>
      </w:r>
    </w:p>
    <w:p>
      <w:pPr>
        <w:shd w:val="clear" w:color="auto" w:fill="FFFFFF"/>
        <w:overflowPunct w:val="0"/>
        <w:spacing w:line="560" w:lineRule="exact"/>
        <w:ind w:firstLine="636" w:firstLineChars="200"/>
        <w:rPr>
          <w:rFonts w:ascii="楷体" w:hAnsi="楷体" w:eastAsia="楷体" w:cs="宋体"/>
          <w:color w:val="000000" w:themeColor="text1"/>
          <w:sz w:val="32"/>
          <w:szCs w:val="32"/>
        </w:rPr>
      </w:pPr>
      <w:r>
        <w:rPr>
          <w:rFonts w:hint="eastAsia" w:ascii="楷体" w:hAnsi="楷体" w:eastAsia="楷体" w:cs="宋体"/>
          <w:color w:val="000000" w:themeColor="text1"/>
          <w:sz w:val="32"/>
          <w:szCs w:val="32"/>
        </w:rPr>
        <w:t>（一）区（县）本级一般公共预算收支决算情况</w:t>
      </w:r>
    </w:p>
    <w:p>
      <w:pPr>
        <w:overflowPunct w:val="0"/>
        <w:spacing w:line="560" w:lineRule="exact"/>
        <w:ind w:firstLine="636" w:firstLineChars="200"/>
        <w:rPr>
          <w:rFonts w:ascii="仿宋_GB2312" w:hAnsi="仿宋" w:eastAsia="仿宋_GB2312" w:cs="宋体"/>
          <w:bCs/>
          <w:color w:val="000000" w:themeColor="text1"/>
          <w:sz w:val="32"/>
          <w:szCs w:val="32"/>
        </w:rPr>
      </w:pPr>
      <w:r>
        <w:rPr>
          <w:rFonts w:hint="eastAsia" w:ascii="仿宋_GB2312" w:eastAsia="仿宋_GB2312"/>
          <w:color w:val="000000" w:themeColor="text1"/>
          <w:sz w:val="32"/>
          <w:szCs w:val="32"/>
        </w:rPr>
        <w:t>区（县）本级一般公共预算收入</w:t>
      </w:r>
      <w:r>
        <w:rPr>
          <w:rFonts w:hint="eastAsia" w:ascii="仿宋_GB2312" w:hAnsi="宋体" w:eastAsia="仿宋_GB2312"/>
          <w:color w:val="000000" w:themeColor="text1"/>
          <w:sz w:val="32"/>
          <w:szCs w:val="32"/>
        </w:rPr>
        <w:t>537732万元，完成预算的107.1</w:t>
      </w:r>
      <w:r>
        <w:rPr>
          <w:rFonts w:hint="eastAsia" w:ascii="仿宋_GB2312" w:eastAsia="仿宋_GB2312"/>
          <w:color w:val="000000" w:themeColor="text1"/>
          <w:sz w:val="32"/>
          <w:szCs w:val="32"/>
        </w:rPr>
        <w:t>%，</w:t>
      </w:r>
      <w:r>
        <w:rPr>
          <w:rFonts w:hint="eastAsia" w:ascii="仿宋_GB2312" w:hAnsi="宋体" w:eastAsia="仿宋_GB2312"/>
          <w:color w:val="000000" w:themeColor="text1"/>
          <w:sz w:val="32"/>
          <w:szCs w:val="32"/>
        </w:rPr>
        <w:t>增长20%，其中，税收收入335777万元，完成预算的105.4%，增长24.5%；非税收入201955万元，完成预算的110.1%，增长13.4%。加上</w:t>
      </w:r>
      <w:r>
        <w:rPr>
          <w:rFonts w:hint="eastAsia" w:ascii="仿宋_GB2312" w:hAnsi="仿宋" w:eastAsia="仿宋_GB2312" w:cs="宋体"/>
          <w:bCs/>
          <w:color w:val="000000" w:themeColor="text1"/>
          <w:sz w:val="32"/>
          <w:szCs w:val="32"/>
        </w:rPr>
        <w:t xml:space="preserve">省级补助收入、下级上解收入、一般债务转贷收入、调入预算稳定调节基金、上年结转收入、调入资金等634608万元，收入总量为1172340万元。     </w:t>
      </w:r>
    </w:p>
    <w:p>
      <w:pPr>
        <w:overflowPunct w:val="0"/>
        <w:spacing w:line="560" w:lineRule="exact"/>
        <w:ind w:firstLine="636" w:firstLineChars="200"/>
        <w:rPr>
          <w:rFonts w:ascii="仿宋_GB2312" w:hAnsi="仿宋" w:eastAsia="仿宋_GB2312" w:cs="宋体"/>
          <w:bCs/>
          <w:color w:val="000000" w:themeColor="text1"/>
          <w:sz w:val="32"/>
          <w:szCs w:val="32"/>
        </w:rPr>
      </w:pPr>
      <w:r>
        <w:rPr>
          <w:rFonts w:hint="eastAsia" w:ascii="仿宋_GB2312" w:eastAsia="仿宋_GB2312"/>
          <w:color w:val="000000" w:themeColor="text1"/>
          <w:sz w:val="32"/>
          <w:szCs w:val="32"/>
        </w:rPr>
        <w:t>区（县）本级</w:t>
      </w:r>
      <w:r>
        <w:rPr>
          <w:rFonts w:hint="eastAsia" w:ascii="仿宋_GB2312" w:hAnsi="仿宋" w:eastAsia="仿宋_GB2312" w:cs="宋体"/>
          <w:bCs/>
          <w:color w:val="000000" w:themeColor="text1"/>
          <w:sz w:val="32"/>
          <w:szCs w:val="32"/>
        </w:rPr>
        <w:t>一般公共预算支出</w:t>
      </w:r>
      <w:r>
        <w:rPr>
          <w:rFonts w:hint="eastAsia" w:ascii="仿宋_GB2312" w:eastAsia="仿宋_GB2312"/>
          <w:color w:val="000000" w:themeColor="text1"/>
          <w:sz w:val="32"/>
          <w:szCs w:val="32"/>
        </w:rPr>
        <w:t>896636万元</w:t>
      </w:r>
      <w:r>
        <w:rPr>
          <w:rFonts w:hint="eastAsia" w:ascii="仿宋_GB2312" w:hAnsi="仿宋" w:eastAsia="仿宋_GB2312" w:cs="宋体"/>
          <w:bCs/>
          <w:color w:val="000000" w:themeColor="text1"/>
          <w:sz w:val="32"/>
          <w:szCs w:val="32"/>
        </w:rPr>
        <w:t>，</w:t>
      </w:r>
      <w:r>
        <w:rPr>
          <w:rFonts w:hint="eastAsia" w:ascii="仿宋_GB2312" w:eastAsia="仿宋_GB2312"/>
          <w:color w:val="000000" w:themeColor="text1"/>
          <w:sz w:val="32"/>
          <w:szCs w:val="32"/>
        </w:rPr>
        <w:t>完成预算的97.9%，下降2.4%</w:t>
      </w:r>
      <w:r>
        <w:rPr>
          <w:rFonts w:hint="eastAsia" w:ascii="仿宋_GB2312" w:hAnsi="仿宋" w:eastAsia="仿宋_GB2312" w:cs="宋体"/>
          <w:bCs/>
          <w:color w:val="000000" w:themeColor="text1"/>
          <w:sz w:val="32"/>
          <w:szCs w:val="32"/>
        </w:rPr>
        <w:t>。加上补助下级支出、债务还本支出、补充预算稳定调节基金、调出资金、上解省级支出等256221万元，支出总量为1152857万元。</w:t>
      </w:r>
    </w:p>
    <w:p>
      <w:pPr>
        <w:overflowPunct w:val="0"/>
        <w:spacing w:line="560" w:lineRule="exact"/>
        <w:ind w:firstLine="636" w:firstLineChars="200"/>
        <w:rPr>
          <w:rFonts w:ascii="仿宋_GB2312" w:hAnsi="仿宋" w:eastAsia="仿宋_GB2312" w:cs="宋体"/>
          <w:bCs/>
          <w:color w:val="000000" w:themeColor="text1"/>
          <w:sz w:val="32"/>
          <w:szCs w:val="32"/>
        </w:rPr>
      </w:pPr>
      <w:r>
        <w:rPr>
          <w:rFonts w:hint="eastAsia" w:ascii="仿宋_GB2312" w:hAnsi="仿宋" w:eastAsia="仿宋_GB2312" w:cs="宋体"/>
          <w:bCs/>
          <w:color w:val="000000" w:themeColor="text1"/>
          <w:sz w:val="32"/>
          <w:szCs w:val="32"/>
        </w:rPr>
        <w:t>收支相抵，结转下年支出19483万元。</w:t>
      </w:r>
      <w:r>
        <w:rPr>
          <w:rFonts w:hint="eastAsia" w:ascii="仿宋_GB2312" w:hAnsi="宋体" w:eastAsia="仿宋_GB2312"/>
          <w:color w:val="000000" w:themeColor="text1"/>
          <w:sz w:val="32"/>
          <w:szCs w:val="32"/>
        </w:rPr>
        <w:t>与向县十七届人大五次会议报告的快报数相比，</w:t>
      </w:r>
      <w:r>
        <w:rPr>
          <w:rFonts w:hint="eastAsia" w:ascii="仿宋_GB2312" w:eastAsia="仿宋_GB2312"/>
          <w:color w:val="000000" w:themeColor="text1"/>
          <w:sz w:val="32"/>
          <w:szCs w:val="32"/>
        </w:rPr>
        <w:t>区（县）本级收入决算数减少749万元，主要是与各片区管理局上下级结算调整收入；区（县）本级支出决算数不变。</w:t>
      </w:r>
    </w:p>
    <w:p>
      <w:pPr>
        <w:shd w:val="clear" w:color="auto" w:fill="FFFFFF"/>
        <w:overflowPunct w:val="0"/>
        <w:spacing w:line="560" w:lineRule="exact"/>
        <w:ind w:firstLine="636" w:firstLineChars="200"/>
        <w:rPr>
          <w:rFonts w:ascii="楷体" w:hAnsi="楷体" w:eastAsia="楷体" w:cs="宋体"/>
          <w:color w:val="000000" w:themeColor="text1"/>
          <w:sz w:val="32"/>
          <w:szCs w:val="32"/>
        </w:rPr>
      </w:pPr>
      <w:r>
        <w:rPr>
          <w:rFonts w:hint="eastAsia" w:ascii="楷体" w:hAnsi="楷体" w:eastAsia="楷体" w:cs="宋体"/>
          <w:color w:val="000000" w:themeColor="text1"/>
          <w:sz w:val="32"/>
          <w:szCs w:val="32"/>
        </w:rPr>
        <w:t>（二）区（县）本级政府性基金收支决算情况</w:t>
      </w:r>
    </w:p>
    <w:p>
      <w:pPr>
        <w:shd w:val="clear" w:color="auto" w:fill="FFFFFF"/>
        <w:overflowPunct w:val="0"/>
        <w:spacing w:line="560" w:lineRule="exact"/>
        <w:ind w:firstLine="636" w:firstLineChars="200"/>
        <w:rPr>
          <w:rFonts w:ascii="仿宋_GB2312" w:hAnsi="楷体" w:eastAsia="仿宋_GB2312" w:cs="宋体"/>
          <w:sz w:val="32"/>
          <w:szCs w:val="32"/>
        </w:rPr>
      </w:pPr>
      <w:r>
        <w:rPr>
          <w:rFonts w:hint="eastAsia" w:ascii="仿宋_GB2312" w:hAnsi="楷体" w:eastAsia="仿宋_GB2312" w:cs="宋体"/>
          <w:sz w:val="32"/>
          <w:szCs w:val="32"/>
        </w:rPr>
        <w:t>区（县）本级政府性基金收入120624万元，完成预算的14.8%，下降84.2%，其中，国有土地使用权出让收入79809万元（已扣除转列一般公共预算的教育资金收入和农田水利建设资金收入），完成预算的9.9%，下降89.3%。加上债务转贷收入、省级补助收入、上年结余收入、调入资金等1084261万元，收入总量为1204885万元。</w:t>
      </w:r>
    </w:p>
    <w:p>
      <w:pPr>
        <w:overflowPunct w:val="0"/>
        <w:spacing w:line="560" w:lineRule="exact"/>
        <w:ind w:firstLine="636" w:firstLineChars="200"/>
        <w:rPr>
          <w:rFonts w:ascii="仿宋_GB2312" w:hAnsi="楷体" w:eastAsia="仿宋_GB2312" w:cs="宋体"/>
          <w:sz w:val="32"/>
          <w:szCs w:val="32"/>
        </w:rPr>
      </w:pPr>
      <w:r>
        <w:rPr>
          <w:rFonts w:hint="eastAsia" w:ascii="仿宋_GB2312" w:hAnsi="楷体" w:eastAsia="仿宋_GB2312" w:cs="宋体"/>
          <w:sz w:val="32"/>
          <w:szCs w:val="32"/>
        </w:rPr>
        <w:t>区（县）本级政府性基金支出468996万元，完成预算的98.9%，下降34.2%。加上债务还本支出、上解上级支出、补助下级支出、调出资金等730539万元，支出总量为1199535万元。</w:t>
      </w:r>
    </w:p>
    <w:p>
      <w:pPr>
        <w:overflowPunct w:val="0"/>
        <w:spacing w:line="560" w:lineRule="exact"/>
        <w:ind w:firstLine="636" w:firstLineChars="200"/>
        <w:rPr>
          <w:rFonts w:ascii="仿宋_GB2312" w:hAnsi="仿宋" w:eastAsia="仿宋_GB2312" w:cs="宋体"/>
          <w:bCs/>
          <w:color w:val="000000" w:themeColor="text1"/>
          <w:sz w:val="32"/>
          <w:szCs w:val="32"/>
        </w:rPr>
      </w:pPr>
      <w:r>
        <w:rPr>
          <w:rFonts w:hint="eastAsia" w:ascii="仿宋_GB2312" w:hAnsi="仿宋" w:eastAsia="仿宋_GB2312" w:cs="宋体"/>
          <w:bCs/>
          <w:color w:val="000000" w:themeColor="text1"/>
          <w:sz w:val="32"/>
          <w:szCs w:val="32"/>
        </w:rPr>
        <w:t>收支相抵，结转下年支出5350万元。</w:t>
      </w:r>
      <w:r>
        <w:rPr>
          <w:rFonts w:hint="eastAsia" w:ascii="仿宋_GB2312" w:hAnsi="宋体" w:eastAsia="仿宋_GB2312"/>
          <w:color w:val="000000" w:themeColor="text1"/>
          <w:sz w:val="32"/>
          <w:szCs w:val="32"/>
        </w:rPr>
        <w:t>与向县十七届人大五次会议报告的快报数相比，</w:t>
      </w:r>
      <w:r>
        <w:rPr>
          <w:rFonts w:hint="eastAsia" w:ascii="仿宋_GB2312" w:hAnsi="楷体" w:eastAsia="仿宋_GB2312" w:cs="宋体"/>
          <w:sz w:val="32"/>
          <w:szCs w:val="32"/>
        </w:rPr>
        <w:t>区（县）本级</w:t>
      </w:r>
      <w:r>
        <w:rPr>
          <w:rFonts w:hint="eastAsia" w:ascii="仿宋_GB2312" w:hAnsi="宋体" w:eastAsia="仿宋_GB2312"/>
          <w:color w:val="000000" w:themeColor="text1"/>
          <w:sz w:val="32"/>
          <w:szCs w:val="32"/>
        </w:rPr>
        <w:t>收支决算数均不变。</w:t>
      </w:r>
    </w:p>
    <w:p>
      <w:pPr>
        <w:shd w:val="clear" w:color="auto" w:fill="FFFFFF"/>
        <w:overflowPunct w:val="0"/>
        <w:spacing w:line="560" w:lineRule="exact"/>
        <w:ind w:firstLine="636" w:firstLineChars="200"/>
        <w:rPr>
          <w:rFonts w:ascii="楷体" w:hAnsi="楷体" w:eastAsia="楷体" w:cs="宋体"/>
          <w:color w:val="000000" w:themeColor="text1"/>
          <w:sz w:val="32"/>
          <w:szCs w:val="32"/>
        </w:rPr>
      </w:pPr>
      <w:r>
        <w:rPr>
          <w:rFonts w:hint="eastAsia" w:ascii="楷体" w:hAnsi="楷体" w:eastAsia="楷体" w:cs="宋体"/>
          <w:color w:val="000000" w:themeColor="text1"/>
          <w:sz w:val="32"/>
          <w:szCs w:val="32"/>
        </w:rPr>
        <w:t>（三）区（县）本级国有资本经营收支决算情况</w:t>
      </w:r>
    </w:p>
    <w:p>
      <w:pPr>
        <w:overflowPunct w:val="0"/>
        <w:spacing w:line="560" w:lineRule="exact"/>
        <w:ind w:firstLine="636" w:firstLineChars="200"/>
        <w:rPr>
          <w:rFonts w:ascii="仿宋_GB2312" w:hAnsi="宋体" w:eastAsia="仿宋_GB2312"/>
          <w:color w:val="000000" w:themeColor="text1"/>
          <w:sz w:val="32"/>
          <w:szCs w:val="32"/>
        </w:rPr>
      </w:pPr>
      <w:r>
        <w:rPr>
          <w:rFonts w:hint="eastAsia" w:ascii="仿宋_GB2312" w:hAnsi="仿宋" w:eastAsia="仿宋_GB2312" w:cs="宋体"/>
          <w:bCs/>
          <w:color w:val="000000" w:themeColor="text1"/>
          <w:sz w:val="32"/>
          <w:szCs w:val="32"/>
        </w:rPr>
        <w:t>区（县）本级国有资本经营收入</w:t>
      </w:r>
      <w:r>
        <w:rPr>
          <w:rFonts w:hint="eastAsia" w:ascii="仿宋_GB2312" w:hAnsi="宋体" w:eastAsia="仿宋_GB2312"/>
          <w:color w:val="000000" w:themeColor="text1"/>
          <w:sz w:val="32"/>
          <w:szCs w:val="32"/>
        </w:rPr>
        <w:t>140278万元</w:t>
      </w:r>
      <w:r>
        <w:rPr>
          <w:rFonts w:hint="eastAsia" w:ascii="仿宋_GB2312" w:hAnsi="仿宋" w:eastAsia="仿宋_GB2312" w:cs="宋体"/>
          <w:bCs/>
          <w:color w:val="000000" w:themeColor="text1"/>
          <w:sz w:val="32"/>
          <w:szCs w:val="32"/>
        </w:rPr>
        <w:t>，完成预算的</w:t>
      </w:r>
      <w:r>
        <w:rPr>
          <w:rFonts w:hint="eastAsia" w:ascii="仿宋_GB2312" w:hAnsi="宋体" w:eastAsia="仿宋_GB2312"/>
          <w:color w:val="000000" w:themeColor="text1"/>
          <w:sz w:val="32"/>
          <w:szCs w:val="32"/>
        </w:rPr>
        <w:t>73.7%，增长20.2%，主要是</w:t>
      </w:r>
      <w:r>
        <w:rPr>
          <w:rFonts w:hint="eastAsia" w:ascii="仿宋_GB2312" w:eastAsia="仿宋_GB2312"/>
          <w:color w:val="000000" w:themeColor="text1"/>
          <w:spacing w:val="6"/>
          <w:sz w:val="32"/>
          <w:szCs w:val="32"/>
        </w:rPr>
        <w:t>ROT模式盘活资金</w:t>
      </w:r>
      <w:r>
        <w:rPr>
          <w:rFonts w:hint="eastAsia" w:ascii="仿宋_GB2312" w:hAnsi="宋体" w:eastAsia="仿宋_GB2312"/>
          <w:color w:val="000000" w:themeColor="text1"/>
          <w:sz w:val="32"/>
          <w:szCs w:val="32"/>
        </w:rPr>
        <w:t>。加上省级补助收入6万元，收入总量140284万元。</w:t>
      </w:r>
      <w:r>
        <w:rPr>
          <w:rFonts w:hint="eastAsia" w:ascii="仿宋_GB2312" w:hAnsi="仿宋" w:eastAsia="仿宋_GB2312" w:cs="宋体"/>
          <w:bCs/>
          <w:color w:val="000000" w:themeColor="text1"/>
          <w:sz w:val="32"/>
          <w:szCs w:val="32"/>
        </w:rPr>
        <w:t>区（县）本级国有资本经营支出</w:t>
      </w:r>
      <w:r>
        <w:rPr>
          <w:rFonts w:hint="eastAsia" w:ascii="仿宋_GB2312" w:hAnsi="宋体" w:eastAsia="仿宋_GB2312"/>
          <w:color w:val="000000" w:themeColor="text1"/>
          <w:sz w:val="32"/>
          <w:szCs w:val="32"/>
        </w:rPr>
        <w:t>1002万元</w:t>
      </w:r>
      <w:r>
        <w:rPr>
          <w:rFonts w:hint="eastAsia" w:ascii="仿宋_GB2312" w:hAnsi="仿宋" w:eastAsia="仿宋_GB2312" w:cs="宋体"/>
          <w:bCs/>
          <w:color w:val="000000" w:themeColor="text1"/>
          <w:sz w:val="32"/>
          <w:szCs w:val="32"/>
        </w:rPr>
        <w:t>，完成预算的100%，增长29.3%。加上调出资金139276万元，支出总量140278万元。收支相抵，结转下年支出6万元。</w:t>
      </w:r>
      <w:r>
        <w:rPr>
          <w:rFonts w:hint="eastAsia" w:ascii="仿宋_GB2312" w:hAnsi="宋体" w:eastAsia="仿宋_GB2312"/>
          <w:color w:val="000000" w:themeColor="text1"/>
          <w:sz w:val="32"/>
          <w:szCs w:val="32"/>
        </w:rPr>
        <w:t>与向县十七届人大五次会议报告的快报数相比，</w:t>
      </w:r>
      <w:r>
        <w:rPr>
          <w:rFonts w:hint="eastAsia" w:ascii="仿宋_GB2312" w:hAnsi="仿宋" w:eastAsia="仿宋_GB2312" w:cs="宋体"/>
          <w:bCs/>
          <w:color w:val="000000" w:themeColor="text1"/>
          <w:sz w:val="32"/>
          <w:szCs w:val="32"/>
        </w:rPr>
        <w:t>区（县）本级</w:t>
      </w:r>
      <w:r>
        <w:rPr>
          <w:rFonts w:hint="eastAsia" w:ascii="仿宋_GB2312" w:hAnsi="宋体" w:eastAsia="仿宋_GB2312"/>
          <w:color w:val="000000" w:themeColor="text1"/>
          <w:sz w:val="32"/>
          <w:szCs w:val="32"/>
        </w:rPr>
        <w:t>收支决算数均增加6万元，主要是与省财政上下级结算增加补助收入。</w:t>
      </w:r>
    </w:p>
    <w:p>
      <w:pPr>
        <w:shd w:val="clear" w:color="auto" w:fill="FFFFFF"/>
        <w:overflowPunct w:val="0"/>
        <w:spacing w:line="560" w:lineRule="exact"/>
        <w:ind w:firstLine="636" w:firstLineChars="200"/>
        <w:rPr>
          <w:rFonts w:ascii="楷体" w:hAnsi="楷体" w:eastAsia="楷体" w:cs="宋体"/>
          <w:color w:val="000000" w:themeColor="text1"/>
          <w:sz w:val="32"/>
          <w:szCs w:val="32"/>
        </w:rPr>
      </w:pPr>
      <w:r>
        <w:rPr>
          <w:rFonts w:hint="eastAsia" w:ascii="楷体" w:hAnsi="楷体" w:eastAsia="楷体" w:cs="宋体"/>
          <w:color w:val="000000" w:themeColor="text1"/>
          <w:sz w:val="32"/>
          <w:szCs w:val="32"/>
        </w:rPr>
        <w:t>（四）区（县）本级社会保险基金收支决算情况</w:t>
      </w:r>
    </w:p>
    <w:p>
      <w:pPr>
        <w:overflowPunct w:val="0"/>
        <w:spacing w:line="560" w:lineRule="exact"/>
        <w:ind w:firstLine="636" w:firstLineChars="200"/>
        <w:rPr>
          <w:rFonts w:ascii="仿宋_GB2312" w:hAnsi="宋体" w:eastAsia="仿宋_GB2312"/>
          <w:color w:val="000000" w:themeColor="text1"/>
          <w:sz w:val="32"/>
          <w:szCs w:val="32"/>
        </w:rPr>
      </w:pPr>
      <w:r>
        <w:rPr>
          <w:rFonts w:hint="eastAsia" w:ascii="仿宋_GB2312" w:hAnsi="仿宋" w:eastAsia="仿宋_GB2312" w:cs="宋体"/>
          <w:bCs/>
          <w:color w:val="000000" w:themeColor="text1"/>
          <w:sz w:val="32"/>
          <w:szCs w:val="32"/>
        </w:rPr>
        <w:t>区（县）本级社会保险基金收入</w:t>
      </w:r>
      <w:r>
        <w:rPr>
          <w:rFonts w:hint="eastAsia" w:ascii="仿宋_GB2312" w:hAnsi="宋体" w:eastAsia="仿宋_GB2312"/>
          <w:color w:val="000000" w:themeColor="text1"/>
          <w:sz w:val="32"/>
          <w:szCs w:val="32"/>
        </w:rPr>
        <w:t>106757万元</w:t>
      </w:r>
      <w:r>
        <w:rPr>
          <w:rFonts w:hint="eastAsia" w:ascii="仿宋_GB2312" w:hAnsi="仿宋" w:eastAsia="仿宋_GB2312" w:cs="宋体"/>
          <w:bCs/>
          <w:color w:val="000000" w:themeColor="text1"/>
          <w:sz w:val="32"/>
          <w:szCs w:val="32"/>
        </w:rPr>
        <w:t>，完成预算的99%，增长8.6%。区（县）本级社会保险基金支出</w:t>
      </w:r>
      <w:r>
        <w:rPr>
          <w:rFonts w:hint="eastAsia" w:ascii="仿宋_GB2312" w:hAnsi="宋体" w:eastAsia="仿宋_GB2312"/>
          <w:color w:val="000000" w:themeColor="text1"/>
          <w:sz w:val="32"/>
          <w:szCs w:val="32"/>
        </w:rPr>
        <w:t>102815万元</w:t>
      </w:r>
      <w:r>
        <w:rPr>
          <w:rFonts w:hint="eastAsia" w:ascii="仿宋_GB2312" w:hAnsi="仿宋" w:eastAsia="仿宋_GB2312" w:cs="宋体"/>
          <w:bCs/>
          <w:color w:val="000000" w:themeColor="text1"/>
          <w:sz w:val="32"/>
          <w:szCs w:val="32"/>
        </w:rPr>
        <w:t>，完成预算的108.1%，增长12.5%。</w:t>
      </w:r>
      <w:r>
        <w:rPr>
          <w:rFonts w:hint="eastAsia" w:ascii="仿宋_GB2312" w:hAnsi="仿宋" w:eastAsia="仿宋_GB2312" w:cs="宋体"/>
          <w:bCs/>
          <w:sz w:val="32"/>
          <w:szCs w:val="32"/>
        </w:rPr>
        <w:t>当年收支结余</w:t>
      </w:r>
      <w:r>
        <w:rPr>
          <w:rFonts w:hint="eastAsia" w:ascii="仿宋_GB2312" w:hAnsi="宋体" w:eastAsia="仿宋_GB2312"/>
          <w:sz w:val="32"/>
          <w:szCs w:val="32"/>
        </w:rPr>
        <w:t>3942万元，年末滚存结余102698万元</w:t>
      </w:r>
      <w:r>
        <w:rPr>
          <w:rFonts w:hint="eastAsia" w:ascii="仿宋_GB2312" w:hAnsi="仿宋" w:eastAsia="仿宋_GB2312" w:cs="宋体"/>
          <w:bCs/>
          <w:sz w:val="32"/>
          <w:szCs w:val="32"/>
        </w:rPr>
        <w:t>。</w:t>
      </w:r>
      <w:r>
        <w:rPr>
          <w:rFonts w:hint="eastAsia" w:ascii="仿宋_GB2312" w:hAnsi="宋体" w:eastAsia="仿宋_GB2312"/>
          <w:color w:val="000000" w:themeColor="text1"/>
          <w:sz w:val="32"/>
          <w:szCs w:val="32"/>
        </w:rPr>
        <w:t>与向县十七届人大五次会议报告的快报数相比，</w:t>
      </w:r>
      <w:r>
        <w:rPr>
          <w:rFonts w:hint="eastAsia" w:ascii="仿宋_GB2312" w:hAnsi="仿宋" w:eastAsia="仿宋_GB2312" w:cs="宋体"/>
          <w:bCs/>
          <w:color w:val="000000" w:themeColor="text1"/>
          <w:sz w:val="32"/>
          <w:szCs w:val="32"/>
        </w:rPr>
        <w:t>区（县）本级</w:t>
      </w:r>
      <w:r>
        <w:rPr>
          <w:rFonts w:hint="eastAsia" w:ascii="仿宋_GB2312" w:hAnsi="宋体" w:eastAsia="仿宋_GB2312"/>
          <w:color w:val="000000" w:themeColor="text1"/>
          <w:sz w:val="32"/>
          <w:szCs w:val="32"/>
        </w:rPr>
        <w:t>收入决算数减少618万元，主要是对账核减收入，</w:t>
      </w:r>
      <w:r>
        <w:rPr>
          <w:rFonts w:hint="eastAsia" w:ascii="仿宋_GB2312" w:hAnsi="仿宋" w:eastAsia="仿宋_GB2312" w:cs="宋体"/>
          <w:bCs/>
          <w:color w:val="000000" w:themeColor="text1"/>
          <w:sz w:val="32"/>
          <w:szCs w:val="32"/>
        </w:rPr>
        <w:t>区（县）本级</w:t>
      </w:r>
      <w:r>
        <w:rPr>
          <w:rFonts w:hint="eastAsia" w:ascii="仿宋_GB2312" w:hAnsi="宋体" w:eastAsia="仿宋_GB2312"/>
          <w:color w:val="000000" w:themeColor="text1"/>
          <w:sz w:val="32"/>
          <w:szCs w:val="32"/>
        </w:rPr>
        <w:t>支出决算数增加5358万元，主要是对账核增支出。</w:t>
      </w:r>
    </w:p>
    <w:p>
      <w:pPr>
        <w:overflowPunct w:val="0"/>
        <w:spacing w:line="560" w:lineRule="exact"/>
        <w:ind w:firstLine="636" w:firstLineChars="200"/>
        <w:contextualSpacing/>
        <w:rPr>
          <w:rFonts w:ascii="楷体" w:hAnsi="楷体" w:eastAsia="楷体" w:cs="宋体"/>
          <w:bCs/>
          <w:color w:val="000000" w:themeColor="text1"/>
          <w:sz w:val="32"/>
          <w:szCs w:val="32"/>
        </w:rPr>
      </w:pPr>
      <w:r>
        <w:rPr>
          <w:rFonts w:hint="eastAsia" w:ascii="楷体" w:hAnsi="楷体" w:eastAsia="楷体" w:cs="宋体"/>
          <w:bCs/>
          <w:color w:val="000000" w:themeColor="text1"/>
          <w:sz w:val="32"/>
          <w:szCs w:val="32"/>
        </w:rPr>
        <w:t>（五）其他重要事项情况</w:t>
      </w:r>
    </w:p>
    <w:p>
      <w:pPr>
        <w:overflowPunct w:val="0"/>
        <w:spacing w:line="560" w:lineRule="exact"/>
        <w:ind w:firstLine="636" w:firstLineChars="200"/>
        <w:contextualSpacing/>
        <w:rPr>
          <w:rFonts w:ascii="仿宋_GB2312" w:hAnsi="黑体" w:eastAsia="仿宋_GB2312" w:cs="宋体"/>
          <w:b/>
          <w:bCs/>
          <w:color w:val="000000" w:themeColor="text1"/>
          <w:sz w:val="32"/>
          <w:szCs w:val="32"/>
        </w:rPr>
      </w:pPr>
      <w:r>
        <w:rPr>
          <w:rFonts w:hint="eastAsia" w:ascii="仿宋_GB2312" w:hAnsi="黑体" w:eastAsia="仿宋_GB2312" w:cs="宋体"/>
          <w:b/>
          <w:bCs/>
          <w:color w:val="000000" w:themeColor="text1"/>
          <w:sz w:val="32"/>
          <w:szCs w:val="32"/>
        </w:rPr>
        <w:t>1.经批准举借债务情况。</w:t>
      </w:r>
      <w:r>
        <w:rPr>
          <w:rFonts w:hint="eastAsia" w:ascii="仿宋_GB2312" w:hAnsi="华文中宋" w:eastAsia="仿宋_GB2312"/>
          <w:color w:val="000000" w:themeColor="text1"/>
          <w:sz w:val="32"/>
          <w:szCs w:val="32"/>
        </w:rPr>
        <w:t>省财政核定平潭2020年政府债务限额4309817万元，其中：一般债务限额928556万元、专项债务限额3381261万元。</w:t>
      </w:r>
      <w:r>
        <w:rPr>
          <w:rFonts w:hint="eastAsia" w:ascii="仿宋_GB2312" w:eastAsia="仿宋_GB2312"/>
          <w:color w:val="000000" w:themeColor="text1"/>
          <w:sz w:val="32"/>
          <w:szCs w:val="32"/>
        </w:rPr>
        <w:t>2020年新增政府债</w:t>
      </w:r>
      <w:r>
        <w:rPr>
          <w:rFonts w:hint="eastAsia" w:ascii="仿宋_GB2312" w:eastAsia="仿宋_GB2312"/>
          <w:sz w:val="32"/>
          <w:szCs w:val="32"/>
        </w:rPr>
        <w:t>务945823万</w:t>
      </w:r>
      <w:r>
        <w:rPr>
          <w:rFonts w:hint="eastAsia" w:ascii="仿宋_GB2312" w:eastAsia="仿宋_GB2312"/>
          <w:color w:val="000000" w:themeColor="text1"/>
          <w:sz w:val="32"/>
          <w:szCs w:val="32"/>
        </w:rPr>
        <w:t>元，其中：新增债券208132万元、再融资债券737500万元、</w:t>
      </w:r>
      <w:r>
        <w:rPr>
          <w:rFonts w:hint="eastAsia" w:ascii="仿宋_GB2312" w:hAnsi="仿宋" w:eastAsia="仿宋_GB2312" w:cs="宋体"/>
          <w:bCs/>
          <w:sz w:val="32"/>
          <w:szCs w:val="32"/>
        </w:rPr>
        <w:t>外债转贷收入191万元</w:t>
      </w:r>
      <w:r>
        <w:rPr>
          <w:rFonts w:hint="eastAsia" w:ascii="仿宋_GB2312" w:eastAsia="仿宋_GB2312"/>
          <w:color w:val="000000" w:themeColor="text1"/>
          <w:sz w:val="32"/>
          <w:szCs w:val="32"/>
        </w:rPr>
        <w:t>。</w:t>
      </w:r>
      <w:r>
        <w:rPr>
          <w:rFonts w:hint="eastAsia" w:ascii="仿宋_GB2312" w:hAnsi="Calibri" w:eastAsia="仿宋_GB2312"/>
          <w:color w:val="000000" w:themeColor="text1"/>
          <w:sz w:val="32"/>
          <w:szCs w:val="32"/>
        </w:rPr>
        <w:t>2020年末政府债务余额</w:t>
      </w:r>
      <w:r>
        <w:rPr>
          <w:rFonts w:hint="eastAsia" w:ascii="仿宋_GB2312" w:eastAsia="仿宋_GB2312"/>
          <w:color w:val="000000" w:themeColor="text1"/>
          <w:sz w:val="32"/>
          <w:szCs w:val="32"/>
        </w:rPr>
        <w:t>3743397万元</w:t>
      </w:r>
      <w:r>
        <w:rPr>
          <w:rFonts w:hint="eastAsia" w:ascii="仿宋_GB2312" w:hAnsi="Calibri" w:eastAsia="仿宋_GB2312"/>
          <w:color w:val="000000" w:themeColor="text1"/>
          <w:sz w:val="32"/>
          <w:szCs w:val="32"/>
        </w:rPr>
        <w:t>，</w:t>
      </w:r>
      <w:r>
        <w:rPr>
          <w:rFonts w:hint="eastAsia" w:ascii="仿宋_GB2312" w:eastAsia="仿宋_GB2312"/>
          <w:color w:val="000000" w:themeColor="text1"/>
          <w:sz w:val="32"/>
          <w:szCs w:val="32"/>
        </w:rPr>
        <w:t>其中：一般债务余额791444万元、专项债务余额2951953万元</w:t>
      </w:r>
      <w:r>
        <w:rPr>
          <w:rFonts w:hint="eastAsia" w:ascii="仿宋_GB2312" w:hAnsi="Calibri" w:eastAsia="仿宋_GB2312"/>
          <w:color w:val="000000" w:themeColor="text1"/>
          <w:sz w:val="32"/>
          <w:szCs w:val="32"/>
        </w:rPr>
        <w:t>，均控制在政府债务限额内。</w:t>
      </w:r>
    </w:p>
    <w:p>
      <w:pPr>
        <w:overflowPunct w:val="0"/>
        <w:spacing w:line="560" w:lineRule="exact"/>
        <w:ind w:firstLine="636" w:firstLineChars="200"/>
        <w:contextualSpacing/>
        <w:rPr>
          <w:rFonts w:ascii="楷体" w:hAnsi="楷体" w:eastAsia="楷体"/>
          <w:color w:val="000000" w:themeColor="text1"/>
          <w:sz w:val="32"/>
          <w:szCs w:val="32"/>
        </w:rPr>
      </w:pPr>
      <w:r>
        <w:rPr>
          <w:rFonts w:hint="eastAsia" w:ascii="仿宋_GB2312" w:hAnsi="黑体" w:eastAsia="仿宋_GB2312"/>
          <w:b/>
          <w:color w:val="000000" w:themeColor="text1"/>
          <w:sz w:val="32"/>
          <w:szCs w:val="32"/>
        </w:rPr>
        <w:t>2.预算调整及执行情况。</w:t>
      </w:r>
      <w:r>
        <w:rPr>
          <w:rFonts w:hint="eastAsia" w:ascii="仿宋_GB2312" w:hAnsi="仿宋" w:eastAsia="仿宋_GB2312"/>
          <w:color w:val="000000" w:themeColor="text1"/>
          <w:kern w:val="0"/>
          <w:sz w:val="32"/>
          <w:szCs w:val="32"/>
        </w:rPr>
        <w:t>根据2020年新增债务和预算执行情况，经县十七届人大常委会第三十次会议审查通过，调整了</w:t>
      </w:r>
      <w:r>
        <w:rPr>
          <w:rFonts w:hint="eastAsia" w:ascii="仿宋_GB2312" w:eastAsia="仿宋_GB2312"/>
          <w:color w:val="000000" w:themeColor="text1"/>
          <w:kern w:val="0"/>
          <w:sz w:val="32"/>
          <w:szCs w:val="32"/>
        </w:rPr>
        <w:t>2020</w:t>
      </w:r>
      <w:r>
        <w:rPr>
          <w:rFonts w:hint="eastAsia" w:ascii="仿宋_GB2312" w:hAnsi="仿宋" w:eastAsia="仿宋_GB2312"/>
          <w:color w:val="000000" w:themeColor="text1"/>
          <w:kern w:val="0"/>
          <w:sz w:val="32"/>
          <w:szCs w:val="32"/>
        </w:rPr>
        <w:t>年一般公共预算收支和政府性基金预算收支，包括增加一般债务117836万元、调入预算稳定调节基金</w:t>
      </w:r>
      <w:r>
        <w:rPr>
          <w:rFonts w:hint="eastAsia" w:ascii="仿宋_GB2312" w:eastAsia="仿宋_GB2312"/>
          <w:color w:val="000000" w:themeColor="text1"/>
          <w:sz w:val="32"/>
          <w:szCs w:val="32"/>
        </w:rPr>
        <w:t>35000万元</w:t>
      </w:r>
      <w:r>
        <w:rPr>
          <w:rFonts w:hint="eastAsia" w:ascii="仿宋_GB2312" w:hAnsi="仿宋" w:eastAsia="仿宋_GB2312"/>
          <w:color w:val="000000" w:themeColor="text1"/>
          <w:kern w:val="0"/>
          <w:sz w:val="32"/>
          <w:szCs w:val="32"/>
        </w:rPr>
        <w:t>、增加一般公共预算支出</w:t>
      </w:r>
      <w:r>
        <w:rPr>
          <w:rFonts w:hint="eastAsia" w:ascii="仿宋_GB2312" w:eastAsia="仿宋_GB2312"/>
          <w:color w:val="000000" w:themeColor="text1"/>
          <w:sz w:val="32"/>
          <w:szCs w:val="32"/>
        </w:rPr>
        <w:t>152836万元</w:t>
      </w:r>
      <w:r>
        <w:rPr>
          <w:rFonts w:hint="eastAsia" w:ascii="仿宋_GB2312" w:hAnsi="仿宋" w:eastAsia="仿宋_GB2312"/>
          <w:color w:val="000000" w:themeColor="text1"/>
          <w:kern w:val="0"/>
          <w:sz w:val="32"/>
          <w:szCs w:val="32"/>
        </w:rPr>
        <w:t>；增加专项债务847475万元</w:t>
      </w:r>
      <w:r>
        <w:rPr>
          <w:rFonts w:hint="eastAsia" w:ascii="仿宋_GB2312" w:eastAsia="仿宋_GB2312"/>
          <w:color w:val="000000" w:themeColor="text1"/>
          <w:sz w:val="32"/>
          <w:szCs w:val="32"/>
        </w:rPr>
        <w:t>、</w:t>
      </w:r>
      <w:r>
        <w:rPr>
          <w:rFonts w:hint="eastAsia" w:ascii="仿宋_GB2312" w:hAnsi="仿宋" w:eastAsia="仿宋_GB2312"/>
          <w:color w:val="000000" w:themeColor="text1"/>
          <w:kern w:val="0"/>
          <w:sz w:val="32"/>
          <w:szCs w:val="32"/>
        </w:rPr>
        <w:t>增加政府性基金支出</w:t>
      </w:r>
      <w:r>
        <w:rPr>
          <w:rFonts w:hint="eastAsia" w:ascii="仿宋_GB2312" w:eastAsia="仿宋_GB2312"/>
          <w:color w:val="000000" w:themeColor="text1"/>
          <w:sz w:val="32"/>
          <w:szCs w:val="32"/>
        </w:rPr>
        <w:t>847475万元</w:t>
      </w:r>
      <w:r>
        <w:rPr>
          <w:rFonts w:hint="eastAsia" w:ascii="仿宋_GB2312" w:hAnsi="仿宋" w:eastAsia="仿宋_GB2312"/>
          <w:color w:val="000000" w:themeColor="text1"/>
          <w:kern w:val="0"/>
          <w:sz w:val="32"/>
          <w:szCs w:val="32"/>
        </w:rPr>
        <w:t>。</w:t>
      </w:r>
    </w:p>
    <w:p>
      <w:pPr>
        <w:spacing w:line="560" w:lineRule="exact"/>
        <w:ind w:firstLine="627"/>
        <w:contextualSpacing/>
        <w:rPr>
          <w:rFonts w:ascii="仿宋_GB2312" w:hAnsi="楷体" w:eastAsia="仿宋_GB2312"/>
          <w:b/>
          <w:bCs/>
          <w:color w:val="000000" w:themeColor="text1"/>
          <w:spacing w:val="-6"/>
          <w:kern w:val="0"/>
          <w:sz w:val="32"/>
          <w:szCs w:val="32"/>
        </w:rPr>
      </w:pPr>
      <w:r>
        <w:rPr>
          <w:rFonts w:hint="eastAsia" w:ascii="仿宋_GB2312" w:hAnsi="楷体" w:eastAsia="仿宋_GB2312"/>
          <w:b/>
          <w:bCs/>
          <w:color w:val="000000" w:themeColor="text1"/>
          <w:kern w:val="0"/>
          <w:sz w:val="32"/>
          <w:szCs w:val="32"/>
        </w:rPr>
        <w:t>3.</w:t>
      </w:r>
      <w:r>
        <w:rPr>
          <w:rFonts w:hint="eastAsia" w:ascii="仿宋_GB2312" w:hAnsi="楷体" w:eastAsia="仿宋_GB2312"/>
          <w:b/>
          <w:bCs/>
          <w:color w:val="000000" w:themeColor="text1"/>
          <w:spacing w:val="-6"/>
          <w:kern w:val="0"/>
          <w:sz w:val="32"/>
          <w:szCs w:val="32"/>
        </w:rPr>
        <w:t>结转资金使用情况和资金结余情况。</w:t>
      </w:r>
      <w:r>
        <w:rPr>
          <w:rFonts w:hint="eastAsia" w:ascii="仿宋_GB2312" w:eastAsia="仿宋_GB2312"/>
          <w:color w:val="000000" w:themeColor="text1"/>
          <w:spacing w:val="-6"/>
          <w:kern w:val="0"/>
          <w:sz w:val="32"/>
          <w:szCs w:val="32"/>
        </w:rPr>
        <w:t>2019年结转至2020年继续使用的支出38570万元</w:t>
      </w:r>
      <w:r>
        <w:rPr>
          <w:rFonts w:hint="eastAsia" w:ascii="仿宋_GB2312" w:eastAsia="仿宋_GB2312"/>
          <w:color w:val="000000" w:themeColor="text1"/>
          <w:sz w:val="32"/>
          <w:szCs w:val="32"/>
        </w:rPr>
        <w:t>，已全部使用。2020年，</w:t>
      </w:r>
      <w:r>
        <w:rPr>
          <w:rFonts w:hint="eastAsia" w:ascii="仿宋_GB2312" w:hAnsi="仿宋" w:eastAsia="仿宋_GB2312" w:cs="宋体"/>
          <w:bCs/>
          <w:color w:val="000000" w:themeColor="text1"/>
          <w:sz w:val="32"/>
          <w:szCs w:val="32"/>
        </w:rPr>
        <w:t>区（县）本级一般公共预算净结余19483万元。</w:t>
      </w:r>
    </w:p>
    <w:p>
      <w:pPr>
        <w:spacing w:line="560" w:lineRule="exact"/>
        <w:ind w:firstLine="627"/>
        <w:contextualSpacing/>
        <w:rPr>
          <w:rFonts w:ascii="仿宋_GB2312" w:hAnsi="楷体" w:eastAsia="仿宋_GB2312"/>
          <w:b/>
          <w:bCs/>
          <w:color w:val="000000" w:themeColor="text1"/>
          <w:spacing w:val="-6"/>
          <w:kern w:val="0"/>
          <w:sz w:val="32"/>
          <w:szCs w:val="32"/>
        </w:rPr>
      </w:pPr>
      <w:r>
        <w:rPr>
          <w:rFonts w:hint="eastAsia" w:ascii="仿宋_GB2312" w:hAnsi="楷体" w:eastAsia="仿宋_GB2312"/>
          <w:b/>
          <w:bCs/>
          <w:color w:val="000000" w:themeColor="text1"/>
          <w:kern w:val="0"/>
          <w:sz w:val="32"/>
          <w:szCs w:val="32"/>
        </w:rPr>
        <w:t>4.预备费使用情况。</w:t>
      </w:r>
      <w:r>
        <w:rPr>
          <w:rFonts w:hint="eastAsia" w:ascii="仿宋_GB2312" w:eastAsia="仿宋_GB2312"/>
          <w:color w:val="000000" w:themeColor="text1"/>
          <w:kern w:val="0"/>
          <w:sz w:val="32"/>
          <w:szCs w:val="32"/>
        </w:rPr>
        <w:t>2020</w:t>
      </w:r>
      <w:r>
        <w:rPr>
          <w:rFonts w:hint="eastAsia" w:ascii="仿宋_GB2312" w:hAnsi="仿宋" w:eastAsia="仿宋_GB2312"/>
          <w:color w:val="000000" w:themeColor="text1"/>
          <w:kern w:val="0"/>
          <w:sz w:val="32"/>
          <w:szCs w:val="32"/>
        </w:rPr>
        <w:t>年，</w:t>
      </w:r>
      <w:r>
        <w:rPr>
          <w:rFonts w:hint="eastAsia" w:ascii="仿宋_GB2312" w:eastAsia="仿宋_GB2312"/>
          <w:color w:val="000000" w:themeColor="text1"/>
          <w:kern w:val="0"/>
          <w:sz w:val="32"/>
          <w:szCs w:val="32"/>
        </w:rPr>
        <w:t>区（县）本级</w:t>
      </w:r>
      <w:r>
        <w:rPr>
          <w:rFonts w:hint="eastAsia" w:ascii="仿宋_GB2312" w:hAnsi="仿宋" w:eastAsia="仿宋_GB2312"/>
          <w:color w:val="000000" w:themeColor="text1"/>
          <w:kern w:val="0"/>
          <w:sz w:val="32"/>
          <w:szCs w:val="32"/>
        </w:rPr>
        <w:t>年初预算安排预备费</w:t>
      </w:r>
      <w:r>
        <w:rPr>
          <w:rFonts w:hint="eastAsia" w:ascii="仿宋_GB2312" w:eastAsia="仿宋_GB2312"/>
          <w:color w:val="000000" w:themeColor="text1"/>
          <w:kern w:val="0"/>
          <w:sz w:val="32"/>
          <w:szCs w:val="32"/>
        </w:rPr>
        <w:t>21000万</w:t>
      </w:r>
      <w:r>
        <w:rPr>
          <w:rFonts w:hint="eastAsia" w:ascii="仿宋_GB2312" w:hAnsi="仿宋" w:eastAsia="仿宋_GB2312"/>
          <w:color w:val="000000" w:themeColor="text1"/>
          <w:kern w:val="0"/>
          <w:sz w:val="32"/>
          <w:szCs w:val="32"/>
        </w:rPr>
        <w:t>元，年度执行中未动用，年末已全部按规定补充预算稳定调节基金。</w:t>
      </w:r>
    </w:p>
    <w:p>
      <w:pPr>
        <w:spacing w:line="560" w:lineRule="exact"/>
        <w:ind w:firstLine="627"/>
        <w:contextualSpacing/>
        <w:rPr>
          <w:rFonts w:ascii="仿宋_GB2312" w:hAnsi="楷体" w:eastAsia="仿宋_GB2312"/>
          <w:b/>
          <w:color w:val="000000" w:themeColor="text1"/>
          <w:kern w:val="0"/>
          <w:sz w:val="32"/>
          <w:szCs w:val="32"/>
        </w:rPr>
      </w:pPr>
      <w:r>
        <w:rPr>
          <w:rFonts w:hint="eastAsia" w:ascii="仿宋_GB2312" w:hAnsi="楷体" w:eastAsia="仿宋_GB2312"/>
          <w:b/>
          <w:color w:val="000000" w:themeColor="text1"/>
          <w:kern w:val="0"/>
          <w:sz w:val="32"/>
          <w:szCs w:val="32"/>
        </w:rPr>
        <w:t>5.预算周转金规模和使用情况。</w:t>
      </w:r>
      <w:r>
        <w:rPr>
          <w:rFonts w:hint="eastAsia" w:ascii="仿宋_GB2312" w:hAnsi="楷体" w:eastAsia="仿宋_GB2312"/>
          <w:color w:val="000000" w:themeColor="text1"/>
          <w:kern w:val="0"/>
          <w:sz w:val="32"/>
          <w:szCs w:val="32"/>
        </w:rPr>
        <w:t>2020年，</w:t>
      </w:r>
      <w:r>
        <w:rPr>
          <w:rFonts w:hint="eastAsia" w:ascii="仿宋_GB2312" w:eastAsia="仿宋_GB2312"/>
          <w:color w:val="000000" w:themeColor="text1"/>
          <w:kern w:val="0"/>
          <w:sz w:val="32"/>
          <w:szCs w:val="32"/>
        </w:rPr>
        <w:t>区（县）本级</w:t>
      </w:r>
      <w:r>
        <w:rPr>
          <w:rFonts w:hint="eastAsia" w:ascii="仿宋_GB2312" w:hAnsi="楷体" w:eastAsia="仿宋_GB2312"/>
          <w:color w:val="000000" w:themeColor="text1"/>
          <w:kern w:val="0"/>
          <w:sz w:val="32"/>
          <w:szCs w:val="32"/>
        </w:rPr>
        <w:t>年初预算未安排预算周转金，全年未发生增减变动。</w:t>
      </w:r>
    </w:p>
    <w:p>
      <w:pPr>
        <w:spacing w:line="560" w:lineRule="exact"/>
        <w:ind w:firstLine="627"/>
        <w:contextualSpacing/>
        <w:rPr>
          <w:rFonts w:ascii="仿宋_GB2312" w:hAnsi="楷体" w:eastAsia="仿宋_GB2312"/>
          <w:b/>
          <w:color w:val="000000" w:themeColor="text1"/>
          <w:kern w:val="0"/>
          <w:sz w:val="32"/>
          <w:szCs w:val="32"/>
        </w:rPr>
      </w:pPr>
      <w:r>
        <w:rPr>
          <w:rFonts w:hint="eastAsia" w:ascii="仿宋_GB2312" w:hAnsi="楷体" w:eastAsia="仿宋_GB2312"/>
          <w:b/>
          <w:bCs/>
          <w:color w:val="000000" w:themeColor="text1"/>
          <w:kern w:val="0"/>
          <w:sz w:val="32"/>
          <w:szCs w:val="32"/>
        </w:rPr>
        <w:t>6.超收收入安排情况。</w:t>
      </w:r>
      <w:r>
        <w:rPr>
          <w:rFonts w:hint="eastAsia" w:ascii="仿宋_GB2312" w:eastAsia="仿宋_GB2312"/>
          <w:color w:val="000000" w:themeColor="text1"/>
          <w:kern w:val="0"/>
          <w:sz w:val="32"/>
          <w:szCs w:val="32"/>
        </w:rPr>
        <w:t>按照《预算法》和财政部的有关规定，超收收入应全部转增预算稳定调节基金。2020年，区（县）本级一般公共预算收入</w:t>
      </w:r>
      <w:r>
        <w:rPr>
          <w:rFonts w:hint="eastAsia" w:ascii="仿宋_GB2312" w:hAnsi="宋体" w:eastAsia="仿宋_GB2312"/>
          <w:color w:val="000000" w:themeColor="text1"/>
          <w:sz w:val="32"/>
          <w:szCs w:val="32"/>
        </w:rPr>
        <w:t>537732万元</w:t>
      </w:r>
      <w:r>
        <w:rPr>
          <w:rFonts w:hint="eastAsia" w:ascii="仿宋_GB2312" w:eastAsia="仿宋_GB2312"/>
          <w:color w:val="000000" w:themeColor="text1"/>
          <w:kern w:val="0"/>
          <w:sz w:val="32"/>
          <w:szCs w:val="32"/>
        </w:rPr>
        <w:t>，完成预算的107.1%，超收收入35756万元已按规定全部补充预算稳定调节基金。</w:t>
      </w:r>
    </w:p>
    <w:p>
      <w:pPr>
        <w:widowControl/>
        <w:spacing w:line="560" w:lineRule="exact"/>
        <w:ind w:firstLine="618"/>
        <w:contextualSpacing/>
        <w:rPr>
          <w:rFonts w:ascii="楷体" w:hAnsi="楷体" w:eastAsia="楷体"/>
          <w:bCs/>
          <w:color w:val="000000" w:themeColor="text1"/>
          <w:spacing w:val="-6"/>
          <w:kern w:val="0"/>
          <w:sz w:val="32"/>
          <w:szCs w:val="32"/>
        </w:rPr>
      </w:pPr>
      <w:r>
        <w:rPr>
          <w:rFonts w:hint="eastAsia" w:ascii="仿宋_GB2312" w:hAnsi="楷体" w:eastAsia="仿宋_GB2312"/>
          <w:b/>
          <w:bCs/>
          <w:color w:val="000000" w:themeColor="text1"/>
          <w:spacing w:val="-6"/>
          <w:kern w:val="0"/>
          <w:sz w:val="32"/>
          <w:szCs w:val="32"/>
        </w:rPr>
        <w:t>7.预算稳定调节基金的规模和使用情况。</w:t>
      </w:r>
      <w:r>
        <w:rPr>
          <w:rFonts w:hint="eastAsia" w:ascii="仿宋_GB2312" w:eastAsia="仿宋_GB2312"/>
          <w:color w:val="000000" w:themeColor="text1"/>
          <w:spacing w:val="-6"/>
          <w:kern w:val="0"/>
          <w:sz w:val="32"/>
          <w:szCs w:val="32"/>
        </w:rPr>
        <w:t>2020</w:t>
      </w:r>
      <w:r>
        <w:rPr>
          <w:rFonts w:hint="eastAsia" w:ascii="仿宋_GB2312" w:hAnsi="仿宋" w:eastAsia="仿宋_GB2312"/>
          <w:color w:val="000000" w:themeColor="text1"/>
          <w:spacing w:val="-6"/>
          <w:kern w:val="0"/>
          <w:sz w:val="32"/>
          <w:szCs w:val="32"/>
        </w:rPr>
        <w:t>年初</w:t>
      </w:r>
      <w:r>
        <w:rPr>
          <w:rFonts w:hint="eastAsia" w:ascii="仿宋_GB2312" w:eastAsia="仿宋_GB2312"/>
          <w:color w:val="000000" w:themeColor="text1"/>
          <w:kern w:val="0"/>
          <w:sz w:val="32"/>
          <w:szCs w:val="32"/>
        </w:rPr>
        <w:t>区（县）本级</w:t>
      </w:r>
      <w:r>
        <w:rPr>
          <w:rFonts w:hint="eastAsia" w:ascii="仿宋_GB2312" w:hAnsi="仿宋" w:eastAsia="仿宋_GB2312"/>
          <w:color w:val="000000" w:themeColor="text1"/>
          <w:spacing w:val="-6"/>
          <w:kern w:val="0"/>
          <w:sz w:val="32"/>
          <w:szCs w:val="32"/>
        </w:rPr>
        <w:t>预算稳定调节基金余额</w:t>
      </w:r>
      <w:r>
        <w:rPr>
          <w:rFonts w:hint="eastAsia" w:ascii="仿宋_GB2312" w:eastAsia="仿宋_GB2312"/>
          <w:color w:val="000000" w:themeColor="text1"/>
          <w:spacing w:val="-6"/>
          <w:kern w:val="0"/>
          <w:sz w:val="32"/>
          <w:szCs w:val="32"/>
        </w:rPr>
        <w:t>37352万</w:t>
      </w:r>
      <w:r>
        <w:rPr>
          <w:rFonts w:hint="eastAsia" w:ascii="仿宋_GB2312" w:hAnsi="仿宋" w:eastAsia="仿宋_GB2312"/>
          <w:color w:val="000000" w:themeColor="text1"/>
          <w:spacing w:val="-6"/>
          <w:kern w:val="0"/>
          <w:sz w:val="32"/>
          <w:szCs w:val="32"/>
        </w:rPr>
        <w:t>元，加上盘活存量结余和</w:t>
      </w:r>
      <w:r>
        <w:rPr>
          <w:rFonts w:hint="eastAsia" w:ascii="仿宋_GB2312" w:hAnsi="仿宋" w:eastAsia="仿宋_GB2312"/>
          <w:color w:val="000000" w:themeColor="text1"/>
          <w:kern w:val="0"/>
          <w:sz w:val="32"/>
          <w:szCs w:val="32"/>
        </w:rPr>
        <w:t>超收收入</w:t>
      </w:r>
      <w:r>
        <w:rPr>
          <w:rFonts w:hint="eastAsia" w:ascii="仿宋_GB2312" w:hAnsi="仿宋" w:eastAsia="仿宋_GB2312"/>
          <w:color w:val="000000" w:themeColor="text1"/>
          <w:spacing w:val="-6"/>
          <w:kern w:val="0"/>
          <w:sz w:val="32"/>
          <w:szCs w:val="32"/>
        </w:rPr>
        <w:t>并扣减预算调入使用后，年末预算稳定调节基金余额为</w:t>
      </w:r>
      <w:r>
        <w:rPr>
          <w:rFonts w:hint="eastAsia" w:ascii="仿宋_GB2312" w:eastAsia="仿宋_GB2312"/>
          <w:color w:val="000000" w:themeColor="text1"/>
          <w:spacing w:val="-6"/>
          <w:kern w:val="0"/>
          <w:sz w:val="32"/>
          <w:szCs w:val="32"/>
        </w:rPr>
        <w:t>11491万</w:t>
      </w:r>
      <w:r>
        <w:rPr>
          <w:rFonts w:hint="eastAsia" w:ascii="仿宋_GB2312" w:hAnsi="仿宋" w:eastAsia="仿宋_GB2312"/>
          <w:color w:val="000000" w:themeColor="text1"/>
          <w:spacing w:val="-6"/>
          <w:kern w:val="0"/>
          <w:sz w:val="32"/>
          <w:szCs w:val="32"/>
        </w:rPr>
        <w:t>元，符合国务院关于预算稳定调节基金规模不超过当年支出预算5%的规定。</w:t>
      </w:r>
    </w:p>
    <w:p>
      <w:pPr>
        <w:widowControl/>
        <w:spacing w:line="560" w:lineRule="exact"/>
        <w:ind w:firstLine="618"/>
        <w:rPr>
          <w:rFonts w:ascii="仿宋_GB2312" w:hAnsi="楷体" w:eastAsia="仿宋_GB2312"/>
          <w:color w:val="000000" w:themeColor="text1"/>
          <w:kern w:val="0"/>
          <w:sz w:val="32"/>
          <w:szCs w:val="32"/>
        </w:rPr>
      </w:pPr>
      <w:r>
        <w:rPr>
          <w:rFonts w:hint="eastAsia" w:ascii="仿宋_GB2312" w:hAnsi="楷体" w:eastAsia="仿宋_GB2312"/>
          <w:b/>
          <w:color w:val="000000" w:themeColor="text1"/>
          <w:spacing w:val="-6"/>
          <w:kern w:val="0"/>
          <w:sz w:val="32"/>
          <w:szCs w:val="32"/>
        </w:rPr>
        <w:t>8.“三公”经费支出情况。</w:t>
      </w:r>
      <w:r>
        <w:rPr>
          <w:rFonts w:hint="eastAsia" w:ascii="仿宋_GB2312" w:hAnsi="楷体" w:eastAsia="仿宋_GB2312"/>
          <w:color w:val="000000" w:themeColor="text1"/>
          <w:spacing w:val="-6"/>
          <w:kern w:val="0"/>
          <w:sz w:val="32"/>
          <w:szCs w:val="32"/>
        </w:rPr>
        <w:t>各部门严格落实中央八项规定精神和压减一般性支出的要求，不断加强“三公”经费管理，“三公”经费持续压减。2020年，</w:t>
      </w:r>
      <w:r>
        <w:rPr>
          <w:rFonts w:hint="eastAsia" w:ascii="仿宋_GB2312" w:eastAsia="仿宋_GB2312"/>
          <w:color w:val="000000" w:themeColor="text1"/>
          <w:kern w:val="0"/>
          <w:sz w:val="32"/>
          <w:szCs w:val="32"/>
        </w:rPr>
        <w:t>区（县）本级</w:t>
      </w:r>
      <w:r>
        <w:rPr>
          <w:rFonts w:hint="eastAsia" w:ascii="仿宋_GB2312" w:hAnsi="楷体" w:eastAsia="仿宋_GB2312"/>
          <w:color w:val="000000" w:themeColor="text1"/>
          <w:spacing w:val="-6"/>
          <w:kern w:val="0"/>
          <w:sz w:val="32"/>
          <w:szCs w:val="32"/>
        </w:rPr>
        <w:t>“三公”经费支出915.47万元，下降61.8%，其中，因公出国（境）经费11.29万元，公务用车购置及运行费740.65万元，公务接待费163.53万元。</w:t>
      </w:r>
    </w:p>
    <w:p>
      <w:pPr>
        <w:overflowPunct w:val="0"/>
        <w:spacing w:line="560" w:lineRule="exact"/>
        <w:ind w:firstLine="636" w:firstLineChars="200"/>
        <w:rPr>
          <w:rFonts w:ascii="黑体" w:hAnsi="黑体" w:eastAsia="黑体"/>
          <w:color w:val="000000" w:themeColor="text1"/>
          <w:sz w:val="32"/>
          <w:szCs w:val="32"/>
        </w:rPr>
      </w:pPr>
      <w:r>
        <w:rPr>
          <w:rFonts w:hint="eastAsia" w:ascii="黑体" w:hAnsi="黑体" w:eastAsia="黑体"/>
          <w:color w:val="000000" w:themeColor="text1"/>
          <w:sz w:val="32"/>
          <w:szCs w:val="32"/>
        </w:rPr>
        <w:t>三、2020年预算执行和落实人大有关决议情况</w:t>
      </w:r>
    </w:p>
    <w:p>
      <w:pPr>
        <w:spacing w:line="560" w:lineRule="exact"/>
        <w:ind w:firstLine="660" w:firstLineChars="200"/>
        <w:rPr>
          <w:rFonts w:ascii="楷体" w:hAnsi="楷体" w:eastAsia="楷体"/>
          <w:color w:val="000000" w:themeColor="text1"/>
          <w:spacing w:val="6"/>
          <w:sz w:val="32"/>
          <w:szCs w:val="32"/>
        </w:rPr>
      </w:pPr>
      <w:r>
        <w:rPr>
          <w:rFonts w:hint="eastAsia" w:ascii="楷体" w:hAnsi="楷体" w:eastAsia="楷体"/>
          <w:color w:val="000000" w:themeColor="text1"/>
          <w:spacing w:val="6"/>
          <w:sz w:val="32"/>
          <w:szCs w:val="32"/>
        </w:rPr>
        <w:t>（一）牢记初心使命，全力支持抗击新冠肺炎疫情</w:t>
      </w:r>
    </w:p>
    <w:p>
      <w:pPr>
        <w:widowControl/>
        <w:spacing w:line="560" w:lineRule="exact"/>
        <w:ind w:firstLine="636" w:firstLineChars="200"/>
        <w:rPr>
          <w:rFonts w:ascii="仿宋_GB2312" w:hAnsi="微软雅黑" w:eastAsia="仿宋_GB2312" w:cs="宋体"/>
          <w:kern w:val="0"/>
          <w:sz w:val="32"/>
          <w:szCs w:val="32"/>
        </w:rPr>
      </w:pPr>
      <w:r>
        <w:rPr>
          <w:rFonts w:hint="eastAsia" w:ascii="仿宋_GB2312" w:hAnsi="微软雅黑" w:eastAsia="仿宋_GB2312" w:cs="宋体"/>
          <w:kern w:val="0"/>
          <w:sz w:val="32"/>
          <w:szCs w:val="32"/>
        </w:rPr>
        <w:t>坚持以人民为中心，统筹推进疫情防控和经济社会发展，始终保持“零确诊”，高质量完成全年目标任务。把疫情防控作为最重要、最紧迫的工作来抓，按照特事特办、急事急办原则，开通资金拨付绿色通道，对疫情防控经费采取“先预拨、后清算”的方式，加快资金拨付使用，确保不因资金问题而影响医疗救治和疫情防控。加强资金分配和使用监管，财政投入疫情防控资金6592万元，为开展相关工作提供了坚实保障。出台支持中小微企业应对疫情渡过难关二十条措施，通过缩短奖补兑现周期、延期缴纳税款、免房租等方式，支持中小微企业稳定生产经营、尽快复工复产。</w:t>
      </w:r>
    </w:p>
    <w:p>
      <w:pPr>
        <w:spacing w:line="560" w:lineRule="exact"/>
        <w:ind w:firstLine="647" w:firstLineChars="196"/>
        <w:rPr>
          <w:rFonts w:ascii="楷体" w:hAnsi="楷体" w:eastAsia="楷体"/>
          <w:color w:val="000000" w:themeColor="text1"/>
          <w:spacing w:val="6"/>
          <w:sz w:val="32"/>
          <w:szCs w:val="32"/>
        </w:rPr>
      </w:pPr>
      <w:r>
        <w:rPr>
          <w:rFonts w:hint="eastAsia" w:ascii="楷体" w:hAnsi="楷体" w:eastAsia="楷体"/>
          <w:color w:val="000000" w:themeColor="text1"/>
          <w:spacing w:val="6"/>
          <w:sz w:val="32"/>
          <w:szCs w:val="32"/>
        </w:rPr>
        <w:t>（二）加强资源统筹，促进经济持续稳定恢复增长</w:t>
      </w:r>
    </w:p>
    <w:p>
      <w:pPr>
        <w:spacing w:line="560" w:lineRule="exact"/>
        <w:ind w:firstLine="624" w:firstLineChars="196"/>
        <w:rPr>
          <w:rFonts w:ascii="仿宋_GB2312" w:hAnsi="微软雅黑" w:eastAsia="仿宋_GB2312" w:cs="宋体"/>
          <w:kern w:val="0"/>
          <w:sz w:val="32"/>
          <w:szCs w:val="32"/>
        </w:rPr>
      </w:pPr>
      <w:r>
        <w:rPr>
          <w:rFonts w:hint="eastAsia" w:ascii="仿宋_GB2312" w:hAnsi="微软雅黑" w:eastAsia="仿宋_GB2312" w:cs="宋体"/>
          <w:kern w:val="0"/>
          <w:sz w:val="32"/>
          <w:szCs w:val="32"/>
        </w:rPr>
        <w:t>特殊时期采取特殊举措，多渠道筹集资金促发展。在巩固传统财源基础上，千方百计引进新增税源，2020年一般公共预算总收入、地方一般公共预算收入分别增长28.2%、20%，增幅均位居全省首位。落实向上争取资金考评办法，进一步调动各部门向上争取资金的积极性，向上争取转移支付资金26.83亿元、新增债券20.83亿元、中央直达资金4.1亿元、抗疫特别国债1.95亿元，最大限度增加可用财力，积极扩大有效投资。在盘活存量、用好增量、整合总量等方面下功夫，加大结余结转资金清理力度，盘活2.5亿元统筹用于经济社会发展，</w:t>
      </w:r>
      <w:r>
        <w:rPr>
          <w:rFonts w:hint="eastAsia" w:ascii="仿宋_GB2312" w:eastAsia="仿宋_GB2312" w:cs="仿宋_GB2312"/>
          <w:sz w:val="32"/>
          <w:szCs w:val="32"/>
        </w:rPr>
        <w:t>238宗可盘活资产移交托管或划转至国资公司，111所学校可盘活资产均已移交接收并签订协议，可盘活资产移交接管和处置盘活工作取得阶段性成效</w:t>
      </w:r>
      <w:r>
        <w:rPr>
          <w:rFonts w:hint="eastAsia" w:ascii="仿宋_GB2312" w:hAnsi="微软雅黑" w:eastAsia="仿宋_GB2312" w:cs="宋体"/>
          <w:kern w:val="0"/>
          <w:sz w:val="32"/>
          <w:szCs w:val="32"/>
        </w:rPr>
        <w:t>。充分发挥财政资金的引导带动作用，</w:t>
      </w:r>
      <w:r>
        <w:rPr>
          <w:rFonts w:hint="eastAsia" w:ascii="仿宋_GB2312" w:eastAsia="仿宋_GB2312" w:cs="仿宋_GB2312"/>
          <w:sz w:val="32"/>
          <w:szCs w:val="32"/>
        </w:rPr>
        <w:t>通过ROT模式盘活变现国有资产13.88亿元（存量管廊升级改造及维护工程二期PPP项目），</w:t>
      </w:r>
      <w:r>
        <w:rPr>
          <w:rFonts w:hint="eastAsia" w:ascii="仿宋_GB2312" w:hAnsi="微软雅黑" w:eastAsia="仿宋_GB2312" w:cs="宋体"/>
          <w:kern w:val="0"/>
          <w:sz w:val="32"/>
          <w:szCs w:val="32"/>
        </w:rPr>
        <w:t>推动海洋科技文化中心PPP项目落地，引入社会资本4.88亿元。</w:t>
      </w:r>
    </w:p>
    <w:p>
      <w:pPr>
        <w:spacing w:line="560" w:lineRule="exact"/>
        <w:ind w:firstLine="647" w:firstLineChars="196"/>
        <w:rPr>
          <w:rFonts w:ascii="楷体" w:hAnsi="楷体" w:eastAsia="楷体"/>
          <w:color w:val="000000" w:themeColor="text1"/>
          <w:spacing w:val="6"/>
          <w:sz w:val="32"/>
          <w:szCs w:val="32"/>
        </w:rPr>
      </w:pPr>
      <w:r>
        <w:rPr>
          <w:rFonts w:hint="eastAsia" w:ascii="楷体" w:hAnsi="楷体" w:eastAsia="楷体"/>
          <w:color w:val="000000" w:themeColor="text1"/>
          <w:spacing w:val="6"/>
          <w:sz w:val="32"/>
          <w:szCs w:val="32"/>
        </w:rPr>
        <w:t>（三）围绕八大工程，加强重大决策部署财力保障</w:t>
      </w:r>
    </w:p>
    <w:p>
      <w:pPr>
        <w:spacing w:line="560" w:lineRule="exact"/>
        <w:ind w:firstLine="624" w:firstLineChars="196"/>
        <w:rPr>
          <w:rFonts w:ascii="仿宋_GB2312" w:hAnsi="楷体" w:eastAsia="仿宋_GB2312"/>
          <w:color w:val="000000" w:themeColor="text1"/>
          <w:spacing w:val="6"/>
          <w:sz w:val="32"/>
          <w:szCs w:val="32"/>
        </w:rPr>
      </w:pPr>
      <w:r>
        <w:rPr>
          <w:rFonts w:hint="eastAsia" w:ascii="仿宋_GB2312" w:hAnsi="宋体" w:eastAsia="仿宋_GB2312" w:cs="宋体"/>
          <w:color w:val="000000" w:themeColor="text1"/>
          <w:kern w:val="0"/>
          <w:sz w:val="32"/>
          <w:szCs w:val="32"/>
        </w:rPr>
        <w:t>旗帜鲜明讲政治，将落实实验区党工委、管委会重大决策部署作为财政工作的首要任务。按照省委“关键在产业”的要求，支持经济发展产业培育工程。拨付产业奖补资金21.5亿元，严格落实各项减税降费政策，减免企业税费4.62亿元，产业培育成效明显，新兴产业园示范区、直播经济产业园、金融港投入运营，总部平台经济全年营收突破400亿元。坚持“现代化+原生态”和全域旅游理念，支持特色鲜明滨海旅游工程。安排旅游集团注册资本金7.71亿元，拨付各类旅游项目资金3.58亿元，继续设立旅游发展专项资金1亿元，支持承办全国沙滩排球精英赛、国际风筝冲浪邀请赛等赛事，北部生态廊道等旅游景点影响力不断扩大。着眼台湾“基层一线、青年一代”，支持两岸同胞共同家园工程。免除台胞子女在平潭公办学校从学前到高中学费，支持举办第九届共同家园论坛、第三届两岸国学论坛等35场对台交流活动。围绕群众最急最盼最忧的问题，支持基础设施完善配套工程。拨付各类项目建设资金67.03亿元，世界最长跨海公铁大桥建成通车，平潭迈入高铁时代。新建、改造、打通市政道路30多条，新增各类停车位15000多个，供水、燃气等管道建设进一步加快。</w:t>
      </w:r>
    </w:p>
    <w:p>
      <w:pPr>
        <w:pBdr>
          <w:bottom w:val="single" w:color="FFFFFF" w:sz="4" w:space="31"/>
        </w:pBdr>
        <w:tabs>
          <w:tab w:val="left" w:pos="1440"/>
        </w:tabs>
        <w:spacing w:line="560" w:lineRule="exact"/>
        <w:ind w:firstLine="660" w:firstLineChars="200"/>
        <w:rPr>
          <w:rFonts w:ascii="楷体" w:hAnsi="楷体" w:eastAsia="楷体"/>
          <w:color w:val="000000" w:themeColor="text1"/>
          <w:spacing w:val="6"/>
          <w:sz w:val="32"/>
          <w:szCs w:val="32"/>
        </w:rPr>
      </w:pPr>
      <w:r>
        <w:rPr>
          <w:rFonts w:hint="eastAsia" w:ascii="楷体" w:hAnsi="楷体" w:eastAsia="楷体"/>
          <w:color w:val="000000" w:themeColor="text1"/>
          <w:spacing w:val="6"/>
          <w:sz w:val="32"/>
          <w:szCs w:val="32"/>
        </w:rPr>
        <w:t>（四）突出民生兜底，稳步提升基本民生保障水平</w:t>
      </w:r>
    </w:p>
    <w:p>
      <w:pPr>
        <w:pBdr>
          <w:bottom w:val="single" w:color="FFFFFF" w:sz="4" w:space="31"/>
        </w:pBdr>
        <w:tabs>
          <w:tab w:val="left" w:pos="1440"/>
        </w:tabs>
        <w:spacing w:line="560" w:lineRule="exact"/>
        <w:ind w:firstLine="636" w:firstLineChars="200"/>
        <w:rPr>
          <w:rFonts w:ascii="仿宋_GB2312" w:eastAsia="仿宋_GB2312" w:cs="仿宋_GB2312"/>
          <w:color w:val="000000" w:themeColor="text1"/>
          <w:kern w:val="0"/>
          <w:sz w:val="32"/>
          <w:szCs w:val="32"/>
        </w:rPr>
      </w:pPr>
      <w:r>
        <w:rPr>
          <w:rFonts w:hint="eastAsia" w:ascii="仿宋_GB2312" w:hAnsi="黑体" w:eastAsia="仿宋_GB2312" w:cs="Calibri"/>
          <w:color w:val="000000" w:themeColor="text1"/>
          <w:kern w:val="0"/>
          <w:sz w:val="32"/>
          <w:szCs w:val="32"/>
        </w:rPr>
        <w:t>扎实做好“六稳”工作，全面落实“六保”任务，2020年民生支出79.03亿元，占一般公共预算支出比例达到82.3%，比上年提高5个百分点。全区（县）社会保障和就业支出8.75亿元，增长56.8%，城乡低保标准从660元/月提高至725元/月，失地农民保障金标准从462元/月提高至495元/月，城乡居民养老金等社会保障指标位居全省前列，脱贫攻坚成果进一步巩固。卫生健康支出7.4亿元，增长17%，大力支持重大疫情防控救治体系和应急物资保障体系建设，提升公共卫生和医疗基础设施能力水平。节能环保支出2.33亿元，增长13%，完成“绿岛花城”建设面积1.6万亩，综合治理水土流失近1000公顷，农村人居环境整治如期完成，获评“国家森林城市”。拨付4个片区预算资金10.25亿元，切实保障机构运转和基本民生政策支出需求，确保片区财政持续健康运行。</w:t>
      </w:r>
    </w:p>
    <w:p>
      <w:pPr>
        <w:pBdr>
          <w:bottom w:val="single" w:color="FFFFFF" w:sz="4" w:space="31"/>
        </w:pBdr>
        <w:tabs>
          <w:tab w:val="left" w:pos="1440"/>
        </w:tabs>
        <w:spacing w:line="560" w:lineRule="exact"/>
        <w:ind w:firstLine="660" w:firstLineChars="200"/>
        <w:rPr>
          <w:rFonts w:ascii="楷体" w:hAnsi="楷体" w:eastAsia="楷体"/>
          <w:color w:val="000000" w:themeColor="text1"/>
          <w:spacing w:val="6"/>
          <w:sz w:val="32"/>
          <w:szCs w:val="32"/>
        </w:rPr>
      </w:pPr>
      <w:r>
        <w:rPr>
          <w:rFonts w:hint="eastAsia" w:ascii="楷体" w:hAnsi="楷体" w:eastAsia="楷体"/>
          <w:color w:val="000000" w:themeColor="text1"/>
          <w:spacing w:val="6"/>
          <w:sz w:val="32"/>
          <w:szCs w:val="32"/>
        </w:rPr>
        <w:t>（五）坚持先行先试，持续深化财政预算管理改革</w:t>
      </w:r>
    </w:p>
    <w:p>
      <w:pPr>
        <w:pBdr>
          <w:bottom w:val="single" w:color="FFFFFF" w:sz="4" w:space="31"/>
        </w:pBdr>
        <w:tabs>
          <w:tab w:val="left" w:pos="1440"/>
        </w:tabs>
        <w:spacing w:line="560" w:lineRule="exact"/>
        <w:ind w:firstLine="636" w:firstLineChars="200"/>
        <w:rPr>
          <w:rFonts w:ascii="仿宋_GB2312" w:hAnsi="楷体" w:eastAsia="仿宋_GB2312"/>
          <w:color w:val="000000" w:themeColor="text1"/>
          <w:spacing w:val="6"/>
          <w:sz w:val="32"/>
          <w:szCs w:val="32"/>
        </w:rPr>
      </w:pPr>
      <w:r>
        <w:rPr>
          <w:rFonts w:hint="eastAsia" w:ascii="仿宋_GB2312" w:hAnsi="黑体" w:eastAsia="仿宋_GB2312"/>
          <w:color w:val="000000" w:themeColor="text1"/>
          <w:sz w:val="32"/>
          <w:szCs w:val="32"/>
        </w:rPr>
        <w:t>积极贯彻应用零基预算理念，打破预算安排和资金分配中存在的基数依赖，进一步健全完善能增能减、有保有压的预算管理机制。</w:t>
      </w:r>
      <w:r>
        <w:rPr>
          <w:rFonts w:hint="eastAsia" w:ascii="仿宋_GB2312" w:hAnsi="楷体" w:eastAsia="仿宋_GB2312"/>
          <w:color w:val="000000" w:themeColor="text1"/>
          <w:spacing w:val="6"/>
          <w:sz w:val="32"/>
          <w:szCs w:val="32"/>
        </w:rPr>
        <w:t>出台区（县）对片区过渡期财政管理体制方案，赋予片区与其承担事权对等的财权，确保财政事权与支出责任相适应，进一步调动片区招商引资、发展产业、培植财源的积极性。稳步推进企业所得税、个人所得税优惠政策延期工作。深化国库集中支付改革，推动将15家乡镇卫生院纳入国库集中支付管理，实现预算单位国库集中支付全覆盖。实现政府采购流程在线流转、全过程网上监控，通过网上公开信息系统完成政府采购项目1717个，成交金额3.9亿元。</w:t>
      </w:r>
      <w:r>
        <w:rPr>
          <w:rFonts w:hint="eastAsia" w:ascii="仿宋_GB2312" w:hAnsi="仿宋_GB2312" w:eastAsia="仿宋_GB2312" w:cs="仿宋_GB2312"/>
          <w:sz w:val="32"/>
          <w:szCs w:val="30"/>
        </w:rPr>
        <w:t>提高财政评审服务效率，2020年审结任务442件，审减金额22.98亿元，审减率9.17%。</w:t>
      </w:r>
    </w:p>
    <w:p>
      <w:pPr>
        <w:pBdr>
          <w:bottom w:val="single" w:color="FFFFFF" w:sz="4" w:space="31"/>
        </w:pBdr>
        <w:tabs>
          <w:tab w:val="left" w:pos="1440"/>
        </w:tabs>
        <w:spacing w:line="560" w:lineRule="exact"/>
        <w:ind w:firstLine="660" w:firstLineChars="200"/>
        <w:rPr>
          <w:rFonts w:ascii="楷体" w:hAnsi="楷体" w:eastAsia="楷体"/>
          <w:color w:val="000000" w:themeColor="text1"/>
          <w:spacing w:val="6"/>
          <w:sz w:val="32"/>
          <w:szCs w:val="32"/>
        </w:rPr>
      </w:pPr>
      <w:r>
        <w:rPr>
          <w:rFonts w:hint="eastAsia" w:ascii="楷体" w:hAnsi="楷体" w:eastAsia="楷体"/>
          <w:color w:val="000000" w:themeColor="text1"/>
          <w:spacing w:val="6"/>
          <w:sz w:val="32"/>
          <w:szCs w:val="32"/>
        </w:rPr>
        <w:t>（六）立足底线思维，积极稳妥防范化解金融风险</w:t>
      </w:r>
    </w:p>
    <w:p>
      <w:pPr>
        <w:pBdr>
          <w:bottom w:val="single" w:color="FFFFFF" w:sz="4" w:space="31"/>
        </w:pBdr>
        <w:tabs>
          <w:tab w:val="left" w:pos="1440"/>
        </w:tabs>
        <w:spacing w:line="560" w:lineRule="exact"/>
        <w:ind w:firstLine="636" w:firstLineChars="200"/>
        <w:rPr>
          <w:rFonts w:ascii="楷体" w:hAnsi="楷体" w:eastAsia="楷体"/>
          <w:color w:val="000000" w:themeColor="text1"/>
          <w:spacing w:val="6"/>
          <w:sz w:val="32"/>
          <w:szCs w:val="32"/>
        </w:rPr>
      </w:pPr>
      <w:r>
        <w:rPr>
          <w:rFonts w:hint="eastAsia" w:ascii="仿宋_GB2312" w:eastAsia="仿宋_GB2312" w:cs="仿宋_GB2312"/>
          <w:sz w:val="32"/>
          <w:szCs w:val="32"/>
        </w:rPr>
        <w:t>加强互联网金融风险防控。</w:t>
      </w:r>
      <w:r>
        <w:rPr>
          <w:rFonts w:hint="eastAsia" w:ascii="仿宋_GB2312" w:eastAsia="仿宋_GB2312"/>
          <w:sz w:val="32"/>
          <w:szCs w:val="32"/>
        </w:rPr>
        <w:t>深入开展互联网金融风险隐患线索摸排工作，排查重点企业366家。</w:t>
      </w:r>
      <w:r>
        <w:rPr>
          <w:rFonts w:hint="eastAsia" w:ascii="仿宋_GB2312" w:eastAsia="仿宋_GB2312" w:cs="仿宋_GB2312"/>
          <w:sz w:val="32"/>
          <w:szCs w:val="32"/>
        </w:rPr>
        <w:t>持续做好网贷风险化解工作，有力化解全省规模最大的网贷平台风险，平台累计兑付本金16.7亿元，涉及投资者近1.3万人。加强非法集资防范和处置工作。</w:t>
      </w:r>
      <w:r>
        <w:rPr>
          <w:rFonts w:hint="eastAsia" w:ascii="仿宋_GB2312" w:eastAsia="仿宋_GB2312" w:cs="仿宋_GB2312"/>
          <w:color w:val="000000"/>
          <w:sz w:val="32"/>
          <w:szCs w:val="32"/>
        </w:rPr>
        <w:t>调整充实由19个部门组成的处非领导小组，进一步明确各部门主体责任和处置流程，形成防范和处置非法集资工作合力。</w:t>
      </w:r>
      <w:r>
        <w:rPr>
          <w:rFonts w:hint="eastAsia" w:ascii="仿宋_GB2312" w:eastAsia="仿宋_GB2312" w:cs="仿宋_GB2312"/>
          <w:sz w:val="32"/>
          <w:szCs w:val="32"/>
        </w:rPr>
        <w:t>持续推进非法集资案件风险处置三年攻坚，</w:t>
      </w:r>
      <w:r>
        <w:rPr>
          <w:rFonts w:hint="eastAsia" w:ascii="仿宋_GB2312" w:eastAsia="仿宋_GB2312" w:cs="仿宋_GB2312"/>
          <w:color w:val="000000"/>
          <w:sz w:val="32"/>
          <w:szCs w:val="32"/>
        </w:rPr>
        <w:t>建立陈案积案台账，实行案件名录动态化管理，</w:t>
      </w:r>
      <w:r>
        <w:rPr>
          <w:rFonts w:hint="eastAsia" w:ascii="仿宋_GB2312" w:eastAsia="仿宋_GB2312" w:cs="仿宋_GB2312"/>
          <w:sz w:val="32"/>
          <w:szCs w:val="32"/>
        </w:rPr>
        <w:t>累计结案13起，在册陈案积案结案率达81.25%。加强类金融行业监管。全面细化梳理典当行、融资担保、小额贷款三个行业权责清单，有序开展2020年类金融企业跨部门“双随机、一公开”联合抽查、典当行年审和融资租赁、商业保理行业摸底等工作。充分运用信息化监管平台，将674家股权投资类企业纳入重点监测，实现风险早识别、早预警、早发现、早处置。加强对实验区属国有企业筹融资工作的指导，要求进一步树立科学的举债融资理念，有效防范债务风险。</w:t>
      </w:r>
    </w:p>
    <w:p>
      <w:pPr>
        <w:pBdr>
          <w:bottom w:val="single" w:color="FFFFFF" w:sz="4" w:space="31"/>
        </w:pBdr>
        <w:tabs>
          <w:tab w:val="left" w:pos="1440"/>
        </w:tabs>
        <w:spacing w:line="560" w:lineRule="exact"/>
        <w:ind w:firstLine="636" w:firstLineChars="200"/>
        <w:rPr>
          <w:rStyle w:val="11"/>
          <w:rFonts w:ascii="黑体" w:hAnsi="黑体" w:eastAsia="黑体" w:cs="仿宋_GB2312"/>
          <w:color w:val="000000"/>
          <w:kern w:val="0"/>
          <w:sz w:val="32"/>
          <w:szCs w:val="32"/>
        </w:rPr>
      </w:pPr>
      <w:r>
        <w:rPr>
          <w:rStyle w:val="11"/>
          <w:rFonts w:hint="eastAsia" w:ascii="黑体" w:hAnsi="黑体" w:eastAsia="黑体" w:cs="仿宋_GB2312"/>
          <w:color w:val="000000"/>
          <w:kern w:val="0"/>
          <w:sz w:val="32"/>
          <w:szCs w:val="32"/>
        </w:rPr>
        <w:t>四、健全制度机制，持续提升财政管理水平</w:t>
      </w:r>
    </w:p>
    <w:p>
      <w:pPr>
        <w:pBdr>
          <w:bottom w:val="single" w:color="FFFFFF" w:sz="4" w:space="31"/>
        </w:pBdr>
        <w:tabs>
          <w:tab w:val="left" w:pos="1440"/>
        </w:tabs>
        <w:spacing w:line="560" w:lineRule="exact"/>
        <w:ind w:firstLine="636" w:firstLineChars="200"/>
        <w:rPr>
          <w:rStyle w:val="11"/>
          <w:rFonts w:ascii="楷体" w:hAnsi="楷体" w:eastAsia="楷体" w:cs="仿宋_GB2312"/>
          <w:color w:val="000000"/>
          <w:kern w:val="0"/>
          <w:sz w:val="32"/>
          <w:szCs w:val="32"/>
        </w:rPr>
      </w:pPr>
      <w:r>
        <w:rPr>
          <w:rStyle w:val="11"/>
          <w:rFonts w:hint="eastAsia" w:ascii="楷体" w:hAnsi="楷体" w:eastAsia="楷体" w:cs="仿宋_GB2312"/>
          <w:color w:val="000000"/>
          <w:kern w:val="0"/>
          <w:sz w:val="32"/>
          <w:szCs w:val="32"/>
        </w:rPr>
        <w:t>（一）全面落实过紧日子要求</w:t>
      </w:r>
    </w:p>
    <w:p>
      <w:pPr>
        <w:pBdr>
          <w:bottom w:val="single" w:color="FFFFFF" w:sz="4" w:space="31"/>
        </w:pBdr>
        <w:tabs>
          <w:tab w:val="left" w:pos="1440"/>
        </w:tabs>
        <w:spacing w:line="560" w:lineRule="exact"/>
        <w:ind w:firstLine="636" w:firstLineChars="200"/>
        <w:rPr>
          <w:rFonts w:ascii="楷体" w:hAnsi="楷体" w:eastAsia="楷体" w:cs="仿宋_GB2312"/>
          <w:color w:val="000000"/>
          <w:kern w:val="0"/>
          <w:sz w:val="32"/>
          <w:szCs w:val="32"/>
        </w:rPr>
      </w:pPr>
      <w:r>
        <w:rPr>
          <w:rFonts w:hint="eastAsia" w:ascii="仿宋_GB2312" w:hAnsi="微软雅黑" w:eastAsia="仿宋_GB2312" w:cs="宋体"/>
          <w:kern w:val="0"/>
          <w:sz w:val="32"/>
          <w:szCs w:val="32"/>
        </w:rPr>
        <w:t>始终牢固树立艰苦奋斗、勤俭节约思想，把政府过紧日子作为财政工作长期坚持的方针，切实做到节用为民，2020年全区（县）一般性支出6.05亿元，下降17.56%。从严编制预算，严把支出关口，除疫情防控等必要增支外，其他支出总体上控制在批准的预算规模内。加强预算执行监控结果运用，推动及时堵塞漏洞、改进管理。进一步大幅压减非急需非刚性支出，按照从严从紧、能压则压的原则审核安排。大力盘活财政存量资金，把更多宝贵财政资源腾出来，用于改善基本民生和支持“八大工程”项目建设。</w:t>
      </w:r>
    </w:p>
    <w:p>
      <w:pPr>
        <w:pBdr>
          <w:bottom w:val="single" w:color="FFFFFF" w:sz="4" w:space="31"/>
        </w:pBdr>
        <w:tabs>
          <w:tab w:val="left" w:pos="1440"/>
        </w:tabs>
        <w:spacing w:line="560" w:lineRule="exact"/>
        <w:ind w:firstLine="636" w:firstLineChars="200"/>
        <w:rPr>
          <w:rStyle w:val="11"/>
          <w:rFonts w:ascii="楷体" w:hAnsi="楷体" w:eastAsia="楷体" w:cs="仿宋_GB2312"/>
          <w:color w:val="000000"/>
          <w:kern w:val="0"/>
          <w:sz w:val="32"/>
          <w:szCs w:val="32"/>
        </w:rPr>
      </w:pPr>
      <w:r>
        <w:rPr>
          <w:rStyle w:val="11"/>
          <w:rFonts w:hint="eastAsia" w:ascii="楷体" w:hAnsi="楷体" w:eastAsia="楷体" w:cs="仿宋_GB2312"/>
          <w:color w:val="000000"/>
          <w:kern w:val="0"/>
          <w:sz w:val="32"/>
          <w:szCs w:val="32"/>
        </w:rPr>
        <w:t>（二）坚持预算管理法定原则</w:t>
      </w:r>
    </w:p>
    <w:p>
      <w:pPr>
        <w:pBdr>
          <w:bottom w:val="single" w:color="FFFFFF" w:sz="4" w:space="31"/>
        </w:pBdr>
        <w:tabs>
          <w:tab w:val="left" w:pos="1440"/>
        </w:tabs>
        <w:spacing w:line="560" w:lineRule="exact"/>
        <w:ind w:firstLine="636" w:firstLineChars="200"/>
        <w:rPr>
          <w:rStyle w:val="11"/>
          <w:rFonts w:ascii="楷体" w:hAnsi="楷体" w:eastAsia="楷体" w:cs="仿宋_GB2312"/>
          <w:color w:val="000000"/>
          <w:kern w:val="0"/>
          <w:sz w:val="32"/>
          <w:szCs w:val="32"/>
        </w:rPr>
      </w:pPr>
      <w:r>
        <w:rPr>
          <w:rFonts w:hint="eastAsia" w:ascii="仿宋_GB2312" w:hAnsi="微软雅黑" w:eastAsia="仿宋_GB2312" w:cs="宋体"/>
          <w:kern w:val="0"/>
          <w:sz w:val="32"/>
          <w:szCs w:val="32"/>
        </w:rPr>
        <w:t>严格落实《预算法》和新修订的《预算法实施条例》有关规定，</w:t>
      </w:r>
      <w:r>
        <w:rPr>
          <w:rFonts w:hint="eastAsia" w:ascii="仿宋_GB2312" w:hAnsi="宋体" w:eastAsia="仿宋_GB2312" w:cs="宋体"/>
          <w:color w:val="000000" w:themeColor="text1"/>
          <w:kern w:val="0"/>
          <w:sz w:val="32"/>
          <w:szCs w:val="32"/>
        </w:rPr>
        <w:t>增强法治观念，强化纪律意识，严肃财经纪律，更加注重强化约束，着力提升制度执行力，维护法律的权威性和制度的刚性约束力</w:t>
      </w:r>
      <w:r>
        <w:rPr>
          <w:rFonts w:hint="eastAsia" w:ascii="仿宋_GB2312" w:hAnsi="微软雅黑" w:eastAsia="仿宋_GB2312" w:cs="宋体"/>
          <w:color w:val="000000" w:themeColor="text1"/>
          <w:kern w:val="0"/>
          <w:sz w:val="32"/>
          <w:szCs w:val="32"/>
        </w:rPr>
        <w:t>。</w:t>
      </w:r>
      <w:r>
        <w:rPr>
          <w:rFonts w:hint="eastAsia" w:ascii="仿宋_GB2312" w:hAnsi="宋体" w:eastAsia="仿宋_GB2312" w:cs="宋体"/>
          <w:color w:val="000000" w:themeColor="text1"/>
          <w:kern w:val="0"/>
          <w:sz w:val="32"/>
          <w:szCs w:val="32"/>
        </w:rPr>
        <w:t>明确部门的预算执行主体责任，</w:t>
      </w:r>
      <w:r>
        <w:rPr>
          <w:rFonts w:hint="eastAsia" w:ascii="仿宋_GB2312" w:hAnsi="微软雅黑" w:eastAsia="仿宋_GB2312" w:cs="宋体"/>
          <w:kern w:val="0"/>
          <w:sz w:val="32"/>
          <w:szCs w:val="32"/>
        </w:rPr>
        <w:t>强化部门预算管理约束机制，根据预算执行、决算、评审、审计、监管等工作中发现的问题，适当减少相关部门预算安排。大力推动预算公开，指导督促各预算部门扎实做好预算公开工作，提高预算透明度。</w:t>
      </w:r>
    </w:p>
    <w:p>
      <w:pPr>
        <w:pBdr>
          <w:bottom w:val="single" w:color="FFFFFF" w:sz="4" w:space="31"/>
        </w:pBdr>
        <w:tabs>
          <w:tab w:val="left" w:pos="1440"/>
        </w:tabs>
        <w:spacing w:line="560" w:lineRule="exact"/>
        <w:ind w:firstLine="636" w:firstLineChars="200"/>
        <w:rPr>
          <w:rStyle w:val="11"/>
          <w:rFonts w:ascii="楷体" w:hAnsi="楷体" w:eastAsia="楷体" w:cs="仿宋_GB2312"/>
          <w:color w:val="000000"/>
          <w:kern w:val="0"/>
          <w:sz w:val="32"/>
          <w:szCs w:val="32"/>
        </w:rPr>
      </w:pPr>
      <w:r>
        <w:rPr>
          <w:rStyle w:val="11"/>
          <w:rFonts w:hint="eastAsia" w:ascii="楷体" w:hAnsi="楷体" w:eastAsia="楷体" w:cs="仿宋_GB2312"/>
          <w:color w:val="000000"/>
          <w:kern w:val="0"/>
          <w:sz w:val="32"/>
          <w:szCs w:val="32"/>
        </w:rPr>
        <w:t>（三）不断强化政府债务管理</w:t>
      </w:r>
    </w:p>
    <w:p>
      <w:pPr>
        <w:pBdr>
          <w:bottom w:val="single" w:color="FFFFFF" w:sz="4" w:space="31"/>
        </w:pBdr>
        <w:tabs>
          <w:tab w:val="left" w:pos="1440"/>
        </w:tabs>
        <w:spacing w:line="560" w:lineRule="exact"/>
        <w:ind w:firstLine="636" w:firstLineChars="200"/>
        <w:rPr>
          <w:rStyle w:val="11"/>
          <w:rFonts w:ascii="楷体" w:hAnsi="楷体" w:eastAsia="楷体" w:cs="仿宋_GB2312"/>
          <w:color w:val="000000"/>
          <w:kern w:val="0"/>
          <w:sz w:val="32"/>
          <w:szCs w:val="32"/>
        </w:rPr>
      </w:pPr>
      <w:r>
        <w:rPr>
          <w:rFonts w:hint="eastAsia" w:ascii="仿宋_GB2312" w:hAnsi="微软雅黑" w:eastAsia="仿宋_GB2312" w:cs="宋体"/>
          <w:kern w:val="0"/>
          <w:sz w:val="32"/>
          <w:szCs w:val="32"/>
        </w:rPr>
        <w:t>坚持底线思维，增强风险意识，进一步完善管理规范、责任清晰、公开透明、风险可控的地方政府举债融资机制。一方面，加强地方政府法定债务管理。兼顾稳增长和防风险需要，合理申报新增地方政府债券规模，避免风险累积。2020年争取再融资债券资金73.75亿元，大大缓解偿债压力。另一方面，抓实化解隐性债务风险工作。坚决遏制隐性债务增量，积极稳妥化解隐性债务存量，牢牢守住不发生系统性风险的底线。</w:t>
      </w:r>
    </w:p>
    <w:p>
      <w:pPr>
        <w:pBdr>
          <w:bottom w:val="single" w:color="FFFFFF" w:sz="4" w:space="31"/>
        </w:pBdr>
        <w:tabs>
          <w:tab w:val="left" w:pos="1440"/>
        </w:tabs>
        <w:spacing w:line="560" w:lineRule="exact"/>
        <w:ind w:firstLine="636" w:firstLineChars="200"/>
        <w:rPr>
          <w:rStyle w:val="11"/>
          <w:rFonts w:ascii="楷体" w:hAnsi="楷体" w:eastAsia="楷体" w:cs="仿宋_GB2312"/>
          <w:color w:val="000000"/>
          <w:kern w:val="0"/>
          <w:sz w:val="32"/>
          <w:szCs w:val="32"/>
        </w:rPr>
      </w:pPr>
      <w:r>
        <w:rPr>
          <w:rStyle w:val="11"/>
          <w:rFonts w:hint="eastAsia" w:ascii="楷体" w:hAnsi="楷体" w:eastAsia="楷体" w:cs="仿宋_GB2312"/>
          <w:color w:val="000000"/>
          <w:kern w:val="0"/>
          <w:sz w:val="32"/>
          <w:szCs w:val="32"/>
        </w:rPr>
        <w:t>（四）推进绩效管理提质增效</w:t>
      </w:r>
    </w:p>
    <w:p>
      <w:pPr>
        <w:pBdr>
          <w:bottom w:val="single" w:color="FFFFFF" w:sz="4" w:space="31"/>
        </w:pBdr>
        <w:tabs>
          <w:tab w:val="left" w:pos="1440"/>
        </w:tabs>
        <w:spacing w:line="560" w:lineRule="exact"/>
        <w:ind w:firstLine="636" w:firstLineChars="200"/>
        <w:rPr>
          <w:rStyle w:val="11"/>
          <w:rFonts w:ascii="楷体" w:hAnsi="楷体" w:eastAsia="楷体" w:cs="仿宋_GB2312"/>
          <w:color w:val="000000"/>
          <w:kern w:val="0"/>
          <w:sz w:val="32"/>
          <w:szCs w:val="32"/>
        </w:rPr>
      </w:pPr>
      <w:r>
        <w:rPr>
          <w:rFonts w:hint="eastAsia" w:ascii="仿宋_GB2312" w:hAnsi="微软雅黑" w:eastAsia="仿宋_GB2312" w:cs="宋体"/>
          <w:kern w:val="0"/>
          <w:sz w:val="32"/>
          <w:szCs w:val="32"/>
        </w:rPr>
        <w:t>更加突出绩效导向，针对重点环节持续完善绩效管理制度框架，印发实施预算绩效事前评估管理暂行办法、预算绩效结果应用管理暂行办法等规范性文件，不断健全分行业、分领域绩效指标体系。加强绩效目标审核，建立健全绩效目标与预算同步申报、同步审核、同步批复下达的工作机制。强化财政评价和绩效结果应用，组织对30个新增重点项目开展事前绩效评估，涉及年度预算金额8.97亿元，选取12个涉及民生、扶贫、环保等领域的项目由第三方机构开展重点绩效评价，涉及年度预算金额超7.87亿元，将绩效评价结果作为完善政策、安排预算、改进管理的重要依据。组织各部门、各单位对绩效目标实现程度和预算执行进度实行“双监控”，及时调减35个项目共1.85亿元，做好对执行中、管理中的偏差和漏洞早发现、早整改。</w:t>
      </w:r>
    </w:p>
    <w:p>
      <w:pPr>
        <w:pBdr>
          <w:bottom w:val="single" w:color="FFFFFF" w:sz="4" w:space="31"/>
        </w:pBdr>
        <w:tabs>
          <w:tab w:val="left" w:pos="1440"/>
        </w:tabs>
        <w:spacing w:line="560" w:lineRule="exact"/>
        <w:ind w:firstLine="636" w:firstLineChars="200"/>
        <w:rPr>
          <w:rStyle w:val="11"/>
          <w:rFonts w:ascii="楷体" w:hAnsi="楷体" w:eastAsia="楷体" w:cs="仿宋_GB2312"/>
          <w:color w:val="000000"/>
          <w:kern w:val="0"/>
          <w:sz w:val="32"/>
          <w:szCs w:val="32"/>
        </w:rPr>
      </w:pPr>
      <w:r>
        <w:rPr>
          <w:rStyle w:val="11"/>
          <w:rFonts w:hint="eastAsia" w:ascii="楷体" w:hAnsi="楷体" w:eastAsia="楷体" w:cs="仿宋_GB2312"/>
          <w:color w:val="000000"/>
          <w:kern w:val="0"/>
          <w:sz w:val="32"/>
          <w:szCs w:val="32"/>
        </w:rPr>
        <w:t>（五）依法接受人大审查监督</w:t>
      </w:r>
    </w:p>
    <w:p>
      <w:pPr>
        <w:pBdr>
          <w:bottom w:val="single" w:color="FFFFFF" w:sz="4" w:space="31"/>
        </w:pBdr>
        <w:tabs>
          <w:tab w:val="left" w:pos="1440"/>
        </w:tabs>
        <w:spacing w:line="560" w:lineRule="exact"/>
        <w:ind w:firstLine="636" w:firstLineChars="200"/>
        <w:rPr>
          <w:rStyle w:val="11"/>
          <w:rFonts w:ascii="楷体" w:hAnsi="楷体" w:eastAsia="楷体" w:cs="仿宋_GB2312"/>
          <w:color w:val="000000"/>
          <w:kern w:val="0"/>
          <w:sz w:val="32"/>
          <w:szCs w:val="32"/>
        </w:rPr>
      </w:pPr>
      <w:r>
        <w:rPr>
          <w:rFonts w:hint="eastAsia" w:ascii="仿宋_GB2312" w:hAnsi="微软雅黑" w:eastAsia="仿宋_GB2312" w:cs="宋体"/>
          <w:kern w:val="0"/>
          <w:sz w:val="32"/>
          <w:szCs w:val="32"/>
        </w:rPr>
        <w:t>认真贯彻省委关于人大预算审查监督重点向支出预算和政策拓展的实施意见等文件精神和县人大有关要求，更好配合人大审查监督工作。落实县人大及其常委会有关决议，对县人大财经委提出的审查意见逐项研究、积极改进，全面报告落实情况和后续措施。依法向县人大常委会报告2020年度行政事业单位国有资产管理等情况，持续完善国有资产管理情况报告工作机制。积极主动向人大代表汇报工作、倾听意见，及时回应关切，使财政工作更加符合民心民意。</w:t>
      </w:r>
    </w:p>
    <w:p>
      <w:pPr>
        <w:pBdr>
          <w:bottom w:val="single" w:color="FFFFFF" w:sz="4" w:space="31"/>
        </w:pBdr>
        <w:tabs>
          <w:tab w:val="left" w:pos="1440"/>
        </w:tabs>
        <w:spacing w:line="560" w:lineRule="exact"/>
        <w:ind w:firstLine="636" w:firstLineChars="200"/>
        <w:rPr>
          <w:rStyle w:val="11"/>
          <w:color w:val="000000"/>
        </w:rPr>
      </w:pPr>
      <w:r>
        <w:rPr>
          <w:rFonts w:hint="eastAsia" w:ascii="仿宋_GB2312" w:hAnsi="宋体" w:eastAsia="仿宋_GB2312"/>
          <w:color w:val="000000" w:themeColor="text1"/>
          <w:sz w:val="32"/>
          <w:szCs w:val="32"/>
        </w:rPr>
        <w:t>主任、各位副主任、各位委员，我们将更加紧密地团结在以习近平同志为核心的党中央周围，坚持以习近平新时代中国特色社会主义思想为指导，增强“四个意识”、坚定“四个自信”、做到“两个维护”，自觉接受县人大常委会的监督指导，认真落实本次会议审议意见，积极主动作为，在应对危机中掌握工作主动权，扎实做好财政预算管理，更好发挥财政职能作用，为谱写全面建设社会主义现代化国家的平潭篇章贡献应有的力量，在新的历史起点推动“一岛两窗三区”再上新台阶！</w:t>
      </w:r>
    </w:p>
    <w:p>
      <w:pPr>
        <w:overflowPunct w:val="0"/>
        <w:spacing w:line="560" w:lineRule="exact"/>
        <w:ind w:firstLine="636" w:firstLineChars="200"/>
        <w:jc w:val="left"/>
      </w:pPr>
      <w:r>
        <w:rPr>
          <w:rFonts w:hint="eastAsia" w:ascii="仿宋_GB2312" w:eastAsia="仿宋_GB2312"/>
          <w:color w:val="000000"/>
          <w:sz w:val="32"/>
          <w:szCs w:val="32"/>
        </w:rPr>
        <w:t>附件：2020年平潭综合实验区(平潭县)财政决算表</w:t>
      </w: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hint="eastAsia"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sz w:val="32"/>
          <w:szCs w:val="32"/>
        </w:rPr>
      </w:pPr>
    </w:p>
    <w:p>
      <w:pPr>
        <w:overflowPunct w:val="0"/>
        <w:spacing w:line="560" w:lineRule="exact"/>
        <w:jc w:val="left"/>
        <w:rPr>
          <w:rFonts w:ascii="仿宋_GB2312" w:eastAsia="仿宋_GB2312"/>
          <w:color w:val="000000"/>
          <w:sz w:val="32"/>
          <w:szCs w:val="32"/>
        </w:rPr>
      </w:pPr>
    </w:p>
    <w:p>
      <w:pPr>
        <w:pBdr>
          <w:top w:val="single" w:color="auto" w:sz="6" w:space="1"/>
          <w:bottom w:val="single" w:color="auto" w:sz="6" w:space="1"/>
        </w:pBdr>
        <w:spacing w:line="560" w:lineRule="exact"/>
        <w:ind w:firstLine="278" w:firstLineChars="100"/>
        <w:rPr>
          <w:rFonts w:ascii="仿宋_GB2312" w:hAnsi="宋体" w:eastAsia="仿宋_GB2312" w:cs="宋体"/>
          <w:color w:val="000000" w:themeColor="text1"/>
          <w:sz w:val="28"/>
          <w:szCs w:val="28"/>
        </w:rPr>
      </w:pPr>
      <w:r>
        <w:rPr>
          <w:rFonts w:hint="eastAsia" w:ascii="仿宋_GB2312" w:hAnsi="宋体" w:eastAsia="仿宋_GB2312" w:cs="宋体"/>
          <w:color w:val="000000" w:themeColor="text1"/>
          <w:sz w:val="28"/>
          <w:szCs w:val="28"/>
        </w:rPr>
        <w:t>平潭县人民政府办公室                   2021年7月28日印发</w:t>
      </w:r>
    </w:p>
    <w:sectPr>
      <w:footerReference r:id="rId3" w:type="default"/>
      <w:footerReference r:id="rId4" w:type="even"/>
      <w:pgSz w:w="11906" w:h="16838"/>
      <w:pgMar w:top="2098" w:right="1474" w:bottom="1985" w:left="1588" w:header="851" w:footer="1418" w:gutter="0"/>
      <w:pgNumType w:fmt="numberInDash"/>
      <w:cols w:space="720" w:num="1"/>
      <w:docGrid w:type="linesAndChars" w:linePitch="592" w:charSpace="-4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FreeSerif"/>
    <w:panose1 w:val="02040503050406030204"/>
    <w:charset w:val="00"/>
    <w:family w:val="roman"/>
    <w:pitch w:val="default"/>
    <w:sig w:usb0="00000000" w:usb1="00000000" w:usb2="00000000" w:usb3="00000000" w:csb0="0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script"/>
    <w:pitch w:val="default"/>
    <w:sig w:usb0="A00002BF" w:usb1="184F6CFA" w:usb2="00000012" w:usb3="00000000" w:csb0="00040001" w:csb1="00000000"/>
  </w:font>
  <w:font w:name="楷体_GB2312">
    <w:panose1 w:val="02010609030101010101"/>
    <w:charset w:val="86"/>
    <w:family w:val="modern"/>
    <w:pitch w:val="default"/>
    <w:sig w:usb0="00000001" w:usb1="080E0000" w:usb2="00000000" w:usb3="00000000" w:csb0="00040000" w:csb1="00000000"/>
  </w:font>
  <w:font w:name="微软雅黑">
    <w:altName w:val="黑体"/>
    <w:panose1 w:val="020B0503020204020204"/>
    <w:charset w:val="86"/>
    <w:family w:val="swiss"/>
    <w:pitch w:val="default"/>
    <w:sig w:usb0="00000000" w:usb1="0000000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altName w:val="汉仪中宋简"/>
    <w:panose1 w:val="02010600040101010101"/>
    <w:charset w:val="86"/>
    <w:family w:val="auto"/>
    <w:pitch w:val="default"/>
    <w:sig w:usb0="00000000" w:usb1="00000000" w:usb2="00000010" w:usb3="00000000" w:csb0="0004009F" w:csb1="00000000"/>
  </w:font>
  <w:font w:name="方正书宋_GBK">
    <w:panose1 w:val="02000000000000000000"/>
    <w:charset w:val="86"/>
    <w:family w:val="auto"/>
    <w:pitch w:val="default"/>
    <w:sig w:usb0="00000001" w:usb1="08000000" w:usb2="00000000" w:usb3="00000000" w:csb0="00040000" w:csb1="00000000"/>
  </w:font>
  <w:font w:name="FreeSerif">
    <w:panose1 w:val="02020603050405020304"/>
    <w:charset w:val="00"/>
    <w:family w:val="auto"/>
    <w:pitch w:val="default"/>
    <w:sig w:usb0="E59FAFFF" w:usb1="C200FDFF" w:usb2="43501B29" w:usb3="04000043" w:csb0="600101FF" w:csb1="FFFF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 w:name="Nimbus Roman No9 L">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456694"/>
      <w:docPartObj>
        <w:docPartGallery w:val="AutoText"/>
      </w:docPartObj>
    </w:sdtPr>
    <w:sdtEndPr>
      <w:rPr>
        <w:rFonts w:hint="eastAsia" w:ascii="仿宋_GB2312" w:eastAsia="仿宋_GB2312"/>
        <w:sz w:val="28"/>
        <w:szCs w:val="28"/>
      </w:rPr>
    </w:sdtEndPr>
    <w:sdtContent>
      <w:p>
        <w:pPr>
          <w:pStyle w:val="2"/>
          <w:jc w:val="right"/>
          <w:rPr>
            <w:rFonts w:ascii="仿宋_GB2312" w:eastAsia="仿宋_GB2312"/>
            <w:sz w:val="28"/>
            <w:szCs w:val="28"/>
          </w:rPr>
        </w:pP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w:t>
        </w:r>
        <w:r>
          <w:rPr>
            <w:rFonts w:ascii="仿宋_GB2312" w:eastAsia="仿宋_GB2312"/>
            <w:sz w:val="28"/>
            <w:szCs w:val="28"/>
          </w:rPr>
          <w:t xml:space="preserve"> 15 -</w:t>
        </w:r>
        <w:r>
          <w:rPr>
            <w:rFonts w:hint="eastAsia" w:ascii="仿宋_GB2312" w:eastAsia="仿宋_GB2312"/>
            <w:sz w:val="28"/>
            <w:szCs w:val="28"/>
          </w:rPr>
          <w:fldChar w:fldCharType="end"/>
        </w:r>
      </w:p>
    </w:sdtContent>
  </w:sdt>
  <w:p>
    <w:pPr>
      <w:pStyle w:val="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456695"/>
      <w:docPartObj>
        <w:docPartGallery w:val="AutoText"/>
      </w:docPartObj>
    </w:sdtPr>
    <w:sdtEndPr>
      <w:rPr>
        <w:rFonts w:hint="eastAsia" w:asciiTheme="minorEastAsia" w:hAnsiTheme="minorEastAsia"/>
        <w:sz w:val="28"/>
        <w:szCs w:val="28"/>
      </w:rPr>
    </w:sdtEndPr>
    <w:sdtContent>
      <w:p>
        <w:pPr>
          <w:pStyle w:val="2"/>
          <w:rPr>
            <w:rFonts w:asciiTheme="minorEastAsia" w:hAnsiTheme="minorEastAsia"/>
            <w:sz w:val="28"/>
            <w:szCs w:val="28"/>
          </w:rPr>
        </w:pPr>
        <w:r>
          <w:rPr>
            <w:rFonts w:hint="eastAsia" w:asciiTheme="minorEastAsia" w:hAnsiTheme="minorEastAsia"/>
            <w:sz w:val="28"/>
            <w:szCs w:val="28"/>
          </w:rPr>
          <w:fldChar w:fldCharType="begin"/>
        </w:r>
        <w:r>
          <w:rPr>
            <w:rFonts w:hint="eastAsia" w:asciiTheme="minorEastAsia" w:hAnsiTheme="minorEastAsia"/>
            <w:sz w:val="28"/>
            <w:szCs w:val="28"/>
          </w:rPr>
          <w:instrText xml:space="preserve"> PAGE   \* MERGEFORMAT </w:instrText>
        </w:r>
        <w:r>
          <w:rPr>
            <w:rFonts w:hint="eastAsia"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16 -</w:t>
        </w:r>
        <w:r>
          <w:rPr>
            <w:rFonts w:hint="eastAsia" w:asciiTheme="minorEastAsia" w:hAnsiTheme="minorEastAsia"/>
            <w:sz w:val="28"/>
            <w:szCs w:val="28"/>
          </w:rPr>
          <w:fldChar w:fldCharType="end"/>
        </w:r>
      </w:p>
    </w:sdtContent>
  </w:sdt>
  <w:p>
    <w:pPr>
      <w:pStyle w:val="2"/>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evenAndOddHeaders w:val="true"/>
  <w:drawingGridHorizontalSpacing w:val="104"/>
  <w:drawingGridVerticalSpacing w:val="29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D5DA4"/>
    <w:rsid w:val="00027728"/>
    <w:rsid w:val="000470AA"/>
    <w:rsid w:val="000822D6"/>
    <w:rsid w:val="0008283A"/>
    <w:rsid w:val="000E72CD"/>
    <w:rsid w:val="00157D1A"/>
    <w:rsid w:val="001836FA"/>
    <w:rsid w:val="0018665E"/>
    <w:rsid w:val="001C4E68"/>
    <w:rsid w:val="00211387"/>
    <w:rsid w:val="002870F9"/>
    <w:rsid w:val="0036429F"/>
    <w:rsid w:val="00364CD7"/>
    <w:rsid w:val="003D498A"/>
    <w:rsid w:val="004439AD"/>
    <w:rsid w:val="00456951"/>
    <w:rsid w:val="004A7B4D"/>
    <w:rsid w:val="004C6247"/>
    <w:rsid w:val="00501BCB"/>
    <w:rsid w:val="00540946"/>
    <w:rsid w:val="00586450"/>
    <w:rsid w:val="005C14E4"/>
    <w:rsid w:val="005C5591"/>
    <w:rsid w:val="005E00E2"/>
    <w:rsid w:val="005F2834"/>
    <w:rsid w:val="00606FAD"/>
    <w:rsid w:val="006348A0"/>
    <w:rsid w:val="00673BD4"/>
    <w:rsid w:val="0067657B"/>
    <w:rsid w:val="006B3B80"/>
    <w:rsid w:val="006B5EEE"/>
    <w:rsid w:val="006C204E"/>
    <w:rsid w:val="00751622"/>
    <w:rsid w:val="00774ED3"/>
    <w:rsid w:val="00782AB6"/>
    <w:rsid w:val="0079691C"/>
    <w:rsid w:val="007C2F17"/>
    <w:rsid w:val="008931B1"/>
    <w:rsid w:val="008E490B"/>
    <w:rsid w:val="008E4FE5"/>
    <w:rsid w:val="008F11B9"/>
    <w:rsid w:val="00944636"/>
    <w:rsid w:val="00944E74"/>
    <w:rsid w:val="009465BE"/>
    <w:rsid w:val="00956649"/>
    <w:rsid w:val="00994570"/>
    <w:rsid w:val="00997B64"/>
    <w:rsid w:val="009F06E7"/>
    <w:rsid w:val="00A001F3"/>
    <w:rsid w:val="00A10DD1"/>
    <w:rsid w:val="00A8569B"/>
    <w:rsid w:val="00B143C7"/>
    <w:rsid w:val="00B30B99"/>
    <w:rsid w:val="00B505B3"/>
    <w:rsid w:val="00B6017D"/>
    <w:rsid w:val="00C059DB"/>
    <w:rsid w:val="00C12ADB"/>
    <w:rsid w:val="00C65EE2"/>
    <w:rsid w:val="00C9795D"/>
    <w:rsid w:val="00CD5DA4"/>
    <w:rsid w:val="00CD6BF1"/>
    <w:rsid w:val="00CE2B9A"/>
    <w:rsid w:val="00CF53C3"/>
    <w:rsid w:val="00D2243B"/>
    <w:rsid w:val="00D5386D"/>
    <w:rsid w:val="00D83C55"/>
    <w:rsid w:val="00D87872"/>
    <w:rsid w:val="00DA599E"/>
    <w:rsid w:val="00DE14DE"/>
    <w:rsid w:val="00DF5F97"/>
    <w:rsid w:val="00E552EA"/>
    <w:rsid w:val="00EA22DA"/>
    <w:rsid w:val="00ED01F7"/>
    <w:rsid w:val="00ED39B0"/>
    <w:rsid w:val="00F54030"/>
    <w:rsid w:val="00F71579"/>
    <w:rsid w:val="3BBF7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9"/>
    <w:semiHidden/>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4">
    <w:name w:val="Normal (Web)"/>
    <w:basedOn w:val="1"/>
    <w:qFormat/>
    <w:uiPriority w:val="0"/>
    <w:pPr>
      <w:widowControl/>
      <w:jc w:val="left"/>
    </w:pPr>
    <w:rPr>
      <w:rFonts w:ascii="宋体" w:hAnsi="宋体" w:cs="宋体"/>
      <w:kern w:val="0"/>
      <w:sz w:val="24"/>
    </w:rPr>
  </w:style>
  <w:style w:type="paragraph" w:styleId="5">
    <w:name w:val="Title"/>
    <w:basedOn w:val="1"/>
    <w:next w:val="1"/>
    <w:link w:val="12"/>
    <w:qFormat/>
    <w:uiPriority w:val="10"/>
    <w:pPr>
      <w:spacing w:before="240" w:after="60"/>
      <w:jc w:val="center"/>
      <w:outlineLvl w:val="0"/>
    </w:pPr>
    <w:rPr>
      <w:rFonts w:asciiTheme="majorHAnsi" w:hAnsiTheme="majorHAnsi" w:cstheme="majorBidi"/>
      <w:b/>
      <w:bCs/>
      <w:sz w:val="32"/>
      <w:szCs w:val="32"/>
    </w:rPr>
  </w:style>
  <w:style w:type="character" w:styleId="8">
    <w:name w:val="page number"/>
    <w:basedOn w:val="7"/>
    <w:qFormat/>
    <w:uiPriority w:val="0"/>
  </w:style>
  <w:style w:type="character" w:customStyle="1" w:styleId="9">
    <w:name w:val="页眉 Char"/>
    <w:basedOn w:val="7"/>
    <w:link w:val="3"/>
    <w:semiHidden/>
    <w:qFormat/>
    <w:uiPriority w:val="99"/>
    <w:rPr>
      <w:sz w:val="18"/>
      <w:szCs w:val="18"/>
    </w:rPr>
  </w:style>
  <w:style w:type="character" w:customStyle="1" w:styleId="10">
    <w:name w:val="页脚 Char"/>
    <w:basedOn w:val="7"/>
    <w:link w:val="2"/>
    <w:qFormat/>
    <w:uiPriority w:val="99"/>
    <w:rPr>
      <w:sz w:val="18"/>
      <w:szCs w:val="18"/>
    </w:rPr>
  </w:style>
  <w:style w:type="character" w:customStyle="1" w:styleId="11">
    <w:name w:val="NormalCharacter"/>
    <w:semiHidden/>
    <w:qFormat/>
    <w:uiPriority w:val="0"/>
  </w:style>
  <w:style w:type="character" w:customStyle="1" w:styleId="12">
    <w:name w:val="标题 Char"/>
    <w:basedOn w:val="7"/>
    <w:link w:val="5"/>
    <w:qFormat/>
    <w:uiPriority w:val="10"/>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1190</Words>
  <Characters>6789</Characters>
  <Lines>56</Lines>
  <Paragraphs>15</Paragraphs>
  <TotalTime>77</TotalTime>
  <ScaleCrop>false</ScaleCrop>
  <LinksUpToDate>false</LinksUpToDate>
  <CharactersWithSpaces>7964</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2021-06-29T15:12:00Z</dcterms:created>
  <dc:creator>陈甘霖</dc:creator>
  <cp:lastModifiedBy>pingtan</cp:lastModifiedBy>
  <cp:lastPrinted>2021-07-30T11:14:00Z</cp:lastPrinted>
  <dcterms:modified xsi:type="dcterms:W3CDTF">2021-09-10T11:54:47Z</dcterms:modified>
  <cp:revision>164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