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line="580" w:lineRule="exact"/>
        <w:ind w:firstLine="0"/>
        <w:jc w:val="center"/>
        <w:rPr>
          <w:rFonts w:ascii="方正小标宋简体" w:hAnsi="仿宋" w:eastAsia="方正小标宋简体" w:cstheme="minorBidi"/>
          <w:snapToGrid/>
          <w:kern w:val="2"/>
          <w:sz w:val="44"/>
          <w:szCs w:val="44"/>
        </w:rPr>
      </w:pPr>
      <w:r>
        <w:rPr>
          <w:rFonts w:hint="eastAsia" w:ascii="方正小标宋简体" w:hAnsi="仿宋" w:eastAsia="方正小标宋简体" w:cstheme="minorBidi"/>
          <w:snapToGrid/>
          <w:kern w:val="2"/>
          <w:sz w:val="44"/>
          <w:szCs w:val="44"/>
        </w:rPr>
        <w:t>2021年平潭综合实验区地方政府债务情况</w:t>
      </w:r>
    </w:p>
    <w:p>
      <w:pPr>
        <w:pStyle w:val="7"/>
        <w:spacing w:line="580" w:lineRule="exact"/>
        <w:ind w:firstLine="592"/>
        <w:rPr>
          <w:rFonts w:ascii="黑体" w:hAnsi="黑体" w:eastAsia="黑体" w:cs="仿宋"/>
          <w:spacing w:val="-6"/>
        </w:rPr>
      </w:pPr>
    </w:p>
    <w:p>
      <w:pPr>
        <w:pStyle w:val="7"/>
        <w:spacing w:line="580" w:lineRule="exact"/>
        <w:ind w:firstLine="592"/>
        <w:rPr>
          <w:rFonts w:ascii="黑体" w:hAnsi="黑体" w:eastAsia="黑体" w:cs="仿宋"/>
          <w:spacing w:val="-6"/>
        </w:rPr>
      </w:pPr>
      <w:r>
        <w:rPr>
          <w:rFonts w:hint="eastAsia" w:ascii="黑体" w:hAnsi="黑体" w:eastAsia="黑体" w:cs="仿宋"/>
          <w:spacing w:val="-6"/>
        </w:rPr>
        <w:t>一、举借政府债务情况</w:t>
      </w:r>
    </w:p>
    <w:p>
      <w:pPr>
        <w:pStyle w:val="7"/>
        <w:spacing w:line="580" w:lineRule="exact"/>
        <w:ind w:firstLine="592"/>
        <w:rPr>
          <w:rFonts w:ascii="仿宋" w:hAnsi="仿宋" w:eastAsia="仿宋" w:cs="仿宋"/>
          <w:spacing w:val="-6"/>
        </w:rPr>
      </w:pPr>
      <w:r>
        <w:rPr>
          <w:rFonts w:hint="eastAsia" w:ascii="仿宋" w:hAnsi="仿宋" w:eastAsia="仿宋" w:cs="仿宋"/>
          <w:spacing w:val="-6"/>
        </w:rPr>
        <w:t>2020年全区新增政府债务限额20.83亿元，其中：区本级新增政府债务限额20.83亿元。</w:t>
      </w:r>
    </w:p>
    <w:p>
      <w:pPr>
        <w:pStyle w:val="7"/>
        <w:spacing w:line="580" w:lineRule="exact"/>
        <w:ind w:firstLine="616" w:firstLineChars="200"/>
        <w:rPr>
          <w:rFonts w:ascii="黑体" w:hAnsi="黑体" w:eastAsia="黑体" w:cs="仿宋"/>
          <w:spacing w:val="-6"/>
        </w:rPr>
      </w:pPr>
      <w:r>
        <w:rPr>
          <w:rFonts w:hint="eastAsia" w:ascii="黑体" w:hAnsi="黑体" w:eastAsia="黑体" w:cs="仿宋"/>
          <w:spacing w:val="-6"/>
        </w:rPr>
        <w:t>二、地方政府债务限额余额情况</w:t>
      </w:r>
    </w:p>
    <w:p>
      <w:pPr>
        <w:pStyle w:val="7"/>
        <w:spacing w:line="580" w:lineRule="exact"/>
        <w:ind w:firstLine="616" w:firstLineChars="200"/>
        <w:rPr>
          <w:rFonts w:ascii="楷体" w:eastAsia="楷体" w:cs="仿宋"/>
          <w:b/>
          <w:spacing w:val="-6"/>
        </w:rPr>
      </w:pPr>
      <w:r>
        <w:rPr>
          <w:rFonts w:hint="eastAsia" w:ascii="仿宋" w:hAnsi="仿宋" w:eastAsia="仿宋" w:cs="仿宋"/>
          <w:spacing w:val="-6"/>
        </w:rPr>
        <w:t>截至2020年底，全区政府债务余额预计执行数374.34亿元，债务余额严格控制在中央核定的限额430.98亿元内（所属地区地方政府债务限额及余额预计执行数详见附表）；区本级政府债务余额预计执行数374.34亿元，债务余额严格控制在限额430.98亿元内。</w:t>
      </w:r>
    </w:p>
    <w:p>
      <w:pPr>
        <w:pStyle w:val="7"/>
        <w:spacing w:line="580" w:lineRule="exact"/>
        <w:ind w:firstLine="616" w:firstLineChars="200"/>
        <w:rPr>
          <w:rFonts w:ascii="黑体" w:hAnsi="黑体" w:eastAsia="黑体" w:cs="仿宋"/>
          <w:spacing w:val="-6"/>
        </w:rPr>
      </w:pPr>
      <w:r>
        <w:rPr>
          <w:rFonts w:hint="eastAsia" w:ascii="黑体" w:hAnsi="黑体" w:eastAsia="黑体" w:cs="仿宋"/>
          <w:spacing w:val="-6"/>
        </w:rPr>
        <w:t>三、地方政府债券发行情况</w:t>
      </w:r>
    </w:p>
    <w:p>
      <w:pPr>
        <w:pStyle w:val="7"/>
        <w:spacing w:line="580" w:lineRule="exact"/>
        <w:ind w:firstLine="616" w:firstLineChars="200"/>
        <w:rPr>
          <w:rFonts w:ascii="仿宋" w:hAnsi="仿宋" w:eastAsia="仿宋" w:cs="仿宋"/>
          <w:spacing w:val="-6"/>
        </w:rPr>
      </w:pPr>
      <w:r>
        <w:rPr>
          <w:rFonts w:hint="eastAsia" w:ascii="仿宋" w:hAnsi="仿宋" w:eastAsia="仿宋" w:cs="仿宋"/>
          <w:spacing w:val="-6"/>
        </w:rPr>
        <w:t xml:space="preserve">2020年全区由省级代为发行地方政府债券94.58亿元，其中：区本级94.58亿元。 </w:t>
      </w:r>
    </w:p>
    <w:p>
      <w:pPr>
        <w:pStyle w:val="7"/>
        <w:spacing w:line="580" w:lineRule="exact"/>
        <w:ind w:firstLine="616" w:firstLineChars="200"/>
        <w:rPr>
          <w:rFonts w:ascii="仿宋" w:hAnsi="仿宋" w:eastAsia="仿宋" w:cs="仿宋"/>
          <w:spacing w:val="-6"/>
        </w:rPr>
      </w:pPr>
      <w:r>
        <w:rPr>
          <w:rFonts w:hint="eastAsia" w:ascii="仿宋" w:hAnsi="仿宋" w:eastAsia="仿宋" w:cs="仿宋"/>
          <w:spacing w:val="-6"/>
        </w:rPr>
        <w:t>按债券性质分：由省级代为发行新增债券20.83亿元、由省级代为发行置换债券0亿元，由省级代为发行再融资债券73.75亿元。</w:t>
      </w:r>
    </w:p>
    <w:p>
      <w:pPr>
        <w:pStyle w:val="7"/>
        <w:spacing w:line="580" w:lineRule="exact"/>
        <w:ind w:firstLine="616" w:firstLineChars="200"/>
        <w:rPr>
          <w:rFonts w:ascii="黑体" w:hAnsi="黑体" w:eastAsia="黑体" w:cs="仿宋"/>
          <w:spacing w:val="-6"/>
        </w:rPr>
      </w:pPr>
      <w:r>
        <w:rPr>
          <w:rFonts w:hint="eastAsia" w:ascii="黑体" w:hAnsi="黑体" w:eastAsia="黑体" w:cs="仿宋"/>
          <w:spacing w:val="-6"/>
        </w:rPr>
        <w:t>四、地方政府债券还本付息情况</w:t>
      </w:r>
    </w:p>
    <w:p>
      <w:pPr>
        <w:pStyle w:val="7"/>
        <w:spacing w:line="580" w:lineRule="exact"/>
        <w:ind w:firstLine="616" w:firstLineChars="200"/>
        <w:rPr>
          <w:rFonts w:ascii="仿宋" w:hAnsi="仿宋" w:eastAsia="仿宋" w:cs="仿宋"/>
          <w:spacing w:val="-6"/>
        </w:rPr>
      </w:pPr>
      <w:r>
        <w:rPr>
          <w:rFonts w:hint="eastAsia" w:ascii="仿宋" w:hAnsi="仿宋" w:eastAsia="仿宋" w:cs="仿宋"/>
          <w:spacing w:val="-6"/>
        </w:rPr>
        <w:t>2020年全区地方政府债券还本付息91.26亿元；区本级地方政府债券还本付息91.26亿元。</w:t>
      </w:r>
    </w:p>
    <w:p>
      <w:pPr>
        <w:pStyle w:val="7"/>
        <w:spacing w:line="580" w:lineRule="exact"/>
        <w:ind w:firstLine="616" w:firstLineChars="200"/>
        <w:rPr>
          <w:rFonts w:hint="eastAsia" w:ascii="仿宋" w:hAnsi="仿宋" w:eastAsia="仿宋" w:cs="仿宋"/>
          <w:spacing w:val="-6"/>
        </w:rPr>
      </w:pPr>
      <w:r>
        <w:rPr>
          <w:rFonts w:hint="eastAsia" w:ascii="仿宋" w:hAnsi="仿宋" w:eastAsia="仿宋" w:cs="仿宋"/>
          <w:spacing w:val="-6"/>
        </w:rPr>
        <w:t>2021年全区地方政府债券还本付息76.51亿元；区本级地方政府债券还本付息76.51亿元。</w:t>
      </w:r>
    </w:p>
    <w:p>
      <w:pPr>
        <w:pStyle w:val="7"/>
        <w:spacing w:line="580" w:lineRule="exact"/>
        <w:ind w:firstLine="616" w:firstLineChars="200"/>
        <w:rPr>
          <w:rFonts w:hint="eastAsia" w:ascii="黑体" w:hAnsi="黑体" w:eastAsia="黑体" w:cs="黑体"/>
          <w:spacing w:val="-6"/>
          <w:lang w:eastAsia="zh-CN"/>
        </w:rPr>
      </w:pPr>
      <w:r>
        <w:rPr>
          <w:rFonts w:hint="eastAsia" w:ascii="黑体" w:hAnsi="黑体" w:eastAsia="黑体" w:cs="黑体"/>
          <w:spacing w:val="-6"/>
          <w:lang w:eastAsia="zh-CN"/>
        </w:rPr>
        <w:t>五、地方政府债券资金使用安排</w:t>
      </w:r>
    </w:p>
    <w:p>
      <w:pPr>
        <w:pStyle w:val="7"/>
        <w:numPr>
          <w:numId w:val="0"/>
        </w:numPr>
        <w:spacing w:line="580" w:lineRule="exact"/>
        <w:rPr>
          <w:rFonts w:hint="default" w:ascii="仿宋" w:hAnsi="仿宋" w:eastAsia="仿宋" w:cs="仿宋"/>
          <w:spacing w:val="-6"/>
          <w:lang w:val="en-US" w:eastAsia="zh-CN"/>
        </w:rPr>
      </w:pPr>
      <w:r>
        <w:rPr>
          <w:rFonts w:hint="eastAsia" w:ascii="仿宋" w:hAnsi="仿宋" w:eastAsia="仿宋" w:cs="仿宋"/>
          <w:spacing w:val="-6"/>
          <w:lang w:val="en-US" w:eastAsia="zh-CN"/>
        </w:rPr>
        <w:t xml:space="preserve">    2021年省财政下达全区新增</w:t>
      </w:r>
      <w:bookmarkStart w:id="0" w:name="_GoBack"/>
      <w:bookmarkEnd w:id="0"/>
      <w:r>
        <w:rPr>
          <w:rFonts w:hint="eastAsia" w:ascii="仿宋" w:hAnsi="仿宋" w:eastAsia="仿宋" w:cs="仿宋"/>
          <w:spacing w:val="-6"/>
          <w:lang w:val="en-US" w:eastAsia="zh-CN"/>
        </w:rPr>
        <w:t>债务限额7.57亿元，其中：区本级7.57亿元，其中：一般债务限额3.35亿元（其中外债额度383万元），安排用于市政建设1.91亿元、教育0.68亿元等公益性资本支出，重点聚焦党中央、国务院确定的国家重大战略和重点领域项目建设；专项债务限额4.22亿元，安排用于产业园区基础设施1.06亿元、保障性租赁住房1亿元、文化旅游0.64亿元等项目，重点用于产业园区基础设施、农林水利、文化旅游、其他社会事业等国家确定重点支持的领域。</w:t>
      </w:r>
    </w:p>
    <w:sectPr>
      <w:footerReference r:id="rId3" w:type="default"/>
      <w:pgSz w:w="11906" w:h="16838"/>
      <w:pgMar w:top="1440" w:right="1558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67757753"/>
      <w:docPartObj>
        <w:docPartGallery w:val="AutoText"/>
      </w:docPartObj>
    </w:sdtPr>
    <w:sdtContent>
      <w:p>
        <w:pPr>
          <w:pStyle w:val="3"/>
          <w:jc w:val="center"/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 xml:space="preserve"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/>
            <w:sz w:val="28"/>
            <w:szCs w:val="28"/>
            <w:lang w:val="zh-CN"/>
          </w:rPr>
          <w:t>1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F6D5E"/>
    <w:rsid w:val="0020395D"/>
    <w:rsid w:val="0021505E"/>
    <w:rsid w:val="00334FD5"/>
    <w:rsid w:val="004C024B"/>
    <w:rsid w:val="006C4A14"/>
    <w:rsid w:val="00713041"/>
    <w:rsid w:val="007A1D85"/>
    <w:rsid w:val="008142D5"/>
    <w:rsid w:val="00821DB7"/>
    <w:rsid w:val="00951604"/>
    <w:rsid w:val="009F6D5E"/>
    <w:rsid w:val="00BA5775"/>
    <w:rsid w:val="00BB5989"/>
    <w:rsid w:val="00BC1D77"/>
    <w:rsid w:val="00DA39AD"/>
    <w:rsid w:val="00EB78A6"/>
    <w:rsid w:val="77FEBAE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内容"/>
    <w:basedOn w:val="1"/>
    <w:qFormat/>
    <w:uiPriority w:val="0"/>
    <w:pPr>
      <w:snapToGrid w:val="0"/>
      <w:spacing w:line="640" w:lineRule="exact"/>
      <w:ind w:firstLine="640"/>
    </w:pPr>
    <w:rPr>
      <w:rFonts w:ascii="Calibri" w:hAnsi="楷体" w:eastAsia="宋体" w:cs="Times New Roman"/>
      <w:snapToGrid w:val="0"/>
      <w:kern w:val="0"/>
      <w:sz w:val="32"/>
      <w:szCs w:val="24"/>
    </w:rPr>
  </w:style>
  <w:style w:type="character" w:customStyle="1" w:styleId="8">
    <w:name w:val="批注框文本 Char"/>
    <w:basedOn w:val="6"/>
    <w:link w:val="2"/>
    <w:semiHidden/>
    <w:qFormat/>
    <w:uiPriority w:val="99"/>
    <w:rPr>
      <w:sz w:val="18"/>
      <w:szCs w:val="18"/>
    </w:rPr>
  </w:style>
  <w:style w:type="character" w:customStyle="1" w:styleId="9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67</Words>
  <Characters>383</Characters>
  <Lines>3</Lines>
  <Paragraphs>1</Paragraphs>
  <TotalTime>33</TotalTime>
  <ScaleCrop>false</ScaleCrop>
  <LinksUpToDate>false</LinksUpToDate>
  <CharactersWithSpaces>449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2021-05-31T18:13:00Z</dcterms:created>
  <dc:creator>林凌</dc:creator>
  <cp:lastModifiedBy>pingtan</cp:lastModifiedBy>
  <cp:lastPrinted>2021-05-31T18:34:00Z</cp:lastPrinted>
  <dcterms:modified xsi:type="dcterms:W3CDTF">2022-01-28T09:45:14Z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