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80" w:lineRule="exact"/>
        <w:jc w:val="center"/>
        <w:rPr>
          <w:rFonts w:ascii="方正小标宋简体" w:hAnsi="方正小标宋简体" w:eastAsia="方正小标宋简体" w:cs="方正小标宋简体"/>
          <w:sz w:val="44"/>
          <w:szCs w:val="44"/>
        </w:rPr>
      </w:pPr>
    </w:p>
    <w:p>
      <w:pPr>
        <w:spacing w:line="580" w:lineRule="exact"/>
        <w:jc w:val="center"/>
        <w:rPr>
          <w:rFonts w:ascii="方正小标宋简体" w:hAnsi="方正小标宋简体" w:eastAsia="方正小标宋简体" w:cs="方正小标宋简体"/>
          <w:sz w:val="44"/>
          <w:szCs w:val="44"/>
        </w:rPr>
      </w:pPr>
      <w:bookmarkStart w:id="0" w:name="_GoBack"/>
      <w:bookmarkEnd w:id="0"/>
    </w:p>
    <w:p>
      <w:pPr>
        <w:spacing w:line="580" w:lineRule="exact"/>
        <w:jc w:val="center"/>
        <w:rPr>
          <w:rFonts w:ascii="方正小标宋简体" w:hAnsi="方正小标宋简体" w:eastAsia="方正小标宋简体" w:cs="方正小标宋简体"/>
          <w:sz w:val="44"/>
          <w:szCs w:val="44"/>
        </w:rPr>
      </w:pPr>
    </w:p>
    <w:p>
      <w:pPr>
        <w:spacing w:line="580" w:lineRule="exact"/>
        <w:jc w:val="center"/>
        <w:rPr>
          <w:rFonts w:ascii="方正小标宋简体" w:hAnsi="方正小标宋简体" w:eastAsia="方正小标宋简体" w:cs="方正小标宋简体"/>
          <w:sz w:val="44"/>
          <w:szCs w:val="44"/>
        </w:rPr>
      </w:pPr>
    </w:p>
    <w:p>
      <w:pPr>
        <w:spacing w:line="58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平潭综合实验区</w:t>
      </w:r>
    </w:p>
    <w:p>
      <w:pPr>
        <w:spacing w:line="58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设施渔业项目资金管理实施办法</w:t>
      </w:r>
    </w:p>
    <w:p>
      <w:pPr>
        <w:spacing w:line="580" w:lineRule="exact"/>
        <w:jc w:val="center"/>
        <w:rPr>
          <w:rFonts w:ascii="仿宋_GB2312" w:hAnsi="仿宋_GB2312" w:eastAsia="仿宋_GB2312" w:cs="仿宋_GB2312"/>
          <w:sz w:val="32"/>
          <w:szCs w:val="32"/>
        </w:rPr>
      </w:pPr>
    </w:p>
    <w:p>
      <w:pPr>
        <w:spacing w:line="580" w:lineRule="exact"/>
        <w:jc w:val="center"/>
        <w:rPr>
          <w:rFonts w:ascii="黑体" w:hAnsi="黑体" w:eastAsia="黑体" w:cs="黑体"/>
          <w:sz w:val="32"/>
          <w:szCs w:val="32"/>
        </w:rPr>
      </w:pPr>
      <w:r>
        <w:rPr>
          <w:rFonts w:hint="eastAsia" w:ascii="黑体" w:hAnsi="黑体" w:eastAsia="黑体" w:cs="黑体"/>
          <w:sz w:val="32"/>
          <w:szCs w:val="32"/>
        </w:rPr>
        <w:t>第一章  总则</w:t>
      </w:r>
    </w:p>
    <w:p>
      <w:pPr>
        <w:spacing w:line="580" w:lineRule="exact"/>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b/>
          <w:bCs/>
          <w:sz w:val="32"/>
          <w:szCs w:val="32"/>
        </w:rPr>
        <w:t xml:space="preserve"> 第一条 </w:t>
      </w:r>
      <w:r>
        <w:rPr>
          <w:rFonts w:hint="eastAsia" w:ascii="仿宋_GB2312" w:hAnsi="仿宋_GB2312" w:eastAsia="仿宋_GB2312" w:cs="仿宋_GB2312"/>
          <w:sz w:val="32"/>
          <w:szCs w:val="32"/>
        </w:rPr>
        <w:t xml:space="preserve"> 为加强平潭综合实验区设施渔业项目资金管理，提高资金使用效益，根据《福建省财政厅  福建省海洋与渔业局关于印发&lt;福建省设施渔业项目资金管理暂行办法&gt;的通知》（闽财建〔2018〕63号）规定，结合本区实际，制定本暂行办法。</w:t>
      </w:r>
    </w:p>
    <w:p>
      <w:pPr>
        <w:spacing w:line="580" w:lineRule="exact"/>
        <w:rPr>
          <w:rFonts w:ascii="仿宋_GB2312" w:hAnsi="仿宋_GB2312" w:eastAsia="仿宋_GB2312" w:cs="仿宋_GB2312"/>
          <w:sz w:val="32"/>
          <w:szCs w:val="32"/>
        </w:rPr>
      </w:pPr>
      <w:r>
        <w:rPr>
          <w:rFonts w:hint="eastAsia" w:ascii="仿宋_GB2312" w:hAnsi="仿宋_GB2312" w:eastAsia="仿宋_GB2312" w:cs="仿宋_GB2312"/>
          <w:b/>
          <w:bCs/>
          <w:sz w:val="32"/>
          <w:szCs w:val="32"/>
        </w:rPr>
        <w:t xml:space="preserve">    第二条 </w:t>
      </w:r>
      <w:r>
        <w:rPr>
          <w:rFonts w:hint="eastAsia" w:ascii="仿宋_GB2312" w:hAnsi="仿宋_GB2312" w:eastAsia="仿宋_GB2312" w:cs="仿宋_GB2312"/>
          <w:sz w:val="32"/>
          <w:szCs w:val="32"/>
        </w:rPr>
        <w:t xml:space="preserve"> 本办法所称平潭综合实验区设施渔业项目资金（以下简称“专项资金”）系指省下达的国内渔业油价补贴资金中用于设施渔业项目资金。</w:t>
      </w:r>
    </w:p>
    <w:p>
      <w:pPr>
        <w:spacing w:line="58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 xml:space="preserve">第三条 </w:t>
      </w:r>
      <w:r>
        <w:rPr>
          <w:rFonts w:hint="eastAsia" w:ascii="仿宋_GB2312" w:hAnsi="仿宋_GB2312" w:eastAsia="仿宋_GB2312" w:cs="仿宋_GB2312"/>
          <w:sz w:val="32"/>
          <w:szCs w:val="32"/>
        </w:rPr>
        <w:t xml:space="preserve"> 专项资金的使用坚持渔业绿色发展和高质量发展，按照养殖水域滩涂规划，优化养殖空间布局，推广生态健康养殖方式，提升养殖设施装备水平，推进渔业现代化进程。</w:t>
      </w:r>
    </w:p>
    <w:p>
      <w:pPr>
        <w:spacing w:line="58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第四条</w:t>
      </w:r>
      <w:r>
        <w:rPr>
          <w:rFonts w:hint="eastAsia" w:ascii="仿宋_GB2312" w:hAnsi="仿宋_GB2312" w:eastAsia="仿宋_GB2312" w:cs="仿宋_GB2312"/>
          <w:sz w:val="32"/>
          <w:szCs w:val="32"/>
        </w:rPr>
        <w:t xml:space="preserve">  专项资金支持的设施渔业项目包括水产养殖池塘、工厂化养殖基地、全塑胶养殖渔排、深水抗风养殖网箱、筏式吊养浮球（高密度聚乙烯塑料）、生态养殖网箱平台、水产种业基地、标准化莲（稻）渔塘等建设项目，以及深远海智能型养殖网箱系统、筏式养殖玻璃钢撑杆等新型养殖设施和设备的建设项目。</w:t>
      </w:r>
    </w:p>
    <w:p>
      <w:pPr>
        <w:spacing w:line="58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w:t>
      </w:r>
      <w:r>
        <w:rPr>
          <w:rFonts w:hint="eastAsia" w:ascii="仿宋_GB2312" w:hAnsi="仿宋_GB2312" w:eastAsia="仿宋_GB2312" w:cs="仿宋_GB2312"/>
          <w:b/>
          <w:bCs/>
          <w:sz w:val="32"/>
          <w:szCs w:val="32"/>
        </w:rPr>
        <w:t xml:space="preserve">第五条 </w:t>
      </w:r>
      <w:r>
        <w:rPr>
          <w:rFonts w:hint="eastAsia" w:ascii="仿宋_GB2312" w:hAnsi="仿宋_GB2312" w:eastAsia="仿宋_GB2312" w:cs="仿宋_GB2312"/>
          <w:sz w:val="32"/>
          <w:szCs w:val="32"/>
        </w:rPr>
        <w:t xml:space="preserve"> 专项资金用于补助区内从事渔业生产的企业、家庭农场和专业合作社等有关单位。以往年度已获得中央、省财政支持的设施渔业项目且尚未通过验收的单位，不得申请年度项目。</w:t>
      </w:r>
    </w:p>
    <w:p>
      <w:pPr>
        <w:spacing w:line="580" w:lineRule="exact"/>
        <w:jc w:val="center"/>
        <w:rPr>
          <w:rFonts w:ascii="黑体" w:hAnsi="黑体" w:eastAsia="黑体" w:cs="黑体"/>
          <w:sz w:val="32"/>
          <w:szCs w:val="32"/>
        </w:rPr>
      </w:pPr>
      <w:r>
        <w:rPr>
          <w:rFonts w:hint="eastAsia" w:ascii="黑体" w:hAnsi="黑体" w:eastAsia="黑体" w:cs="黑体"/>
          <w:sz w:val="32"/>
          <w:szCs w:val="32"/>
        </w:rPr>
        <w:t>第二章  管理职责</w:t>
      </w:r>
    </w:p>
    <w:p>
      <w:pPr>
        <w:spacing w:line="58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第六条</w:t>
      </w:r>
      <w:r>
        <w:rPr>
          <w:rFonts w:hint="eastAsia" w:ascii="仿宋_GB2312" w:hAnsi="仿宋_GB2312" w:eastAsia="仿宋_GB2312" w:cs="仿宋_GB2312"/>
          <w:sz w:val="32"/>
          <w:szCs w:val="32"/>
        </w:rPr>
        <w:t xml:space="preserve">  专项资金的管理和使用遵循“突出重点、注重引导、公开透明”的原则，由区财政金融局、农业农村局、各片区管理局根据职责分工进行管理。</w:t>
      </w:r>
    </w:p>
    <w:p>
      <w:pPr>
        <w:spacing w:line="58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第七条</w:t>
      </w:r>
      <w:r>
        <w:rPr>
          <w:rFonts w:hint="eastAsia" w:ascii="仿宋_GB2312" w:hAnsi="仿宋_GB2312" w:eastAsia="仿宋_GB2312" w:cs="仿宋_GB2312"/>
          <w:sz w:val="32"/>
          <w:szCs w:val="32"/>
        </w:rPr>
        <w:t xml:space="preserve">  区财政金融局负责制定专项资金管理实施办法，依法监督，指导区农业农村局、相关片区管理局及项目单位加强对专项资金的使用管理，督促专项资金绩效管理等方面的工作。</w:t>
      </w:r>
    </w:p>
    <w:p>
      <w:pPr>
        <w:spacing w:line="58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区农业农村局负责制定专项资金项目管理指导意见和项目建设技术要求，审核、汇总各片区项目专项资金需求，分配下达拨付资金，研究提出绩效目标，加强对资金使用情况的监督管理并组织开展绩效评价，指导监管片区管理局做好项目管理工作。</w:t>
      </w:r>
    </w:p>
    <w:p>
      <w:pPr>
        <w:spacing w:line="58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片区管理局负责汇总上报本区域专项资金需求，组织项目申报，对项目开展日常检查，负责项目评审、验收、绩效等工作。</w:t>
      </w:r>
    </w:p>
    <w:p>
      <w:pPr>
        <w:spacing w:line="58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项目业主单位按时保质保量落实项目建设内容，每季度上报一次建设进度，积极配合相关部门的检查工作，提高资金使用绩效，做到专款专用。</w:t>
      </w:r>
    </w:p>
    <w:p>
      <w:pPr>
        <w:spacing w:line="580" w:lineRule="exact"/>
        <w:jc w:val="center"/>
        <w:rPr>
          <w:rFonts w:ascii="黑体" w:hAnsi="黑体" w:eastAsia="黑体" w:cs="黑体"/>
          <w:sz w:val="32"/>
          <w:szCs w:val="32"/>
        </w:rPr>
      </w:pPr>
      <w:r>
        <w:rPr>
          <w:rFonts w:hint="eastAsia" w:ascii="黑体" w:hAnsi="黑体" w:eastAsia="黑体" w:cs="黑体"/>
          <w:sz w:val="32"/>
          <w:szCs w:val="32"/>
        </w:rPr>
        <w:t>第三章  资金分配</w:t>
      </w:r>
    </w:p>
    <w:p>
      <w:pPr>
        <w:spacing w:line="58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第八条</w:t>
      </w:r>
      <w:r>
        <w:rPr>
          <w:rFonts w:hint="eastAsia" w:ascii="仿宋_GB2312" w:hAnsi="仿宋_GB2312" w:eastAsia="仿宋_GB2312" w:cs="仿宋_GB2312"/>
          <w:sz w:val="32"/>
          <w:szCs w:val="32"/>
        </w:rPr>
        <w:t xml:space="preserve">  专项资金按项目申报所需资金采取占投资总额比例方式进行安排，下达资金的同时下达绩效目标。资金由区农业农村局分配下达，并抄送区财政金融局备案。</w:t>
      </w:r>
    </w:p>
    <w:p>
      <w:pPr>
        <w:spacing w:line="58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第九条</w:t>
      </w:r>
      <w:r>
        <w:rPr>
          <w:rFonts w:hint="eastAsia" w:ascii="仿宋_GB2312" w:hAnsi="仿宋_GB2312" w:eastAsia="仿宋_GB2312" w:cs="仿宋_GB2312"/>
          <w:sz w:val="32"/>
          <w:szCs w:val="32"/>
        </w:rPr>
        <w:t xml:space="preserve"> 专项资金对设施渔业项目的补助比例不得超过项目新增投资的50%，各类项目补助标准见附表。</w:t>
      </w:r>
    </w:p>
    <w:p>
      <w:pPr>
        <w:spacing w:line="58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水产养殖池塘、工厂化养殖基地、全塑胶养殖渔排、深水抗风浪养殖网箱、生态养殖网箱平台和标准化莲（稻）池塘等六类项目，单个项目的补助资金最高不超过800万元。筏式吊养浮球（高密度聚乙烯塑料）建设项目，单个项目补助资金最高不超过100万元。水产种业基地建设项目（含特种水产），达到省级原良种场建设规模的，单个项目补助资金最高不超过200万元；达到地市级原良种场建设规模的，单个项目补助资金最高不超过100万元。</w:t>
      </w:r>
    </w:p>
    <w:p>
      <w:pPr>
        <w:spacing w:line="58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深远海智能型养殖网箱系统，单个项目补助不超过1000万元；筏吊养殖玻璃钢撑杆单个项目补助不超过100万元；对于与省厅规定的项目补助标准以外的特殊现代设施渔业项目，专项补助资金应控制在新增投资资金的50%以内；具体补助标准由区农业农村局参考验收专家组意见，根据实际情况确定。</w:t>
      </w:r>
    </w:p>
    <w:p>
      <w:pPr>
        <w:spacing w:line="580" w:lineRule="exact"/>
        <w:jc w:val="center"/>
        <w:rPr>
          <w:rFonts w:ascii="黑体" w:hAnsi="黑体" w:eastAsia="黑体" w:cs="黑体"/>
          <w:sz w:val="32"/>
          <w:szCs w:val="32"/>
        </w:rPr>
      </w:pPr>
      <w:r>
        <w:rPr>
          <w:rFonts w:hint="eastAsia" w:ascii="黑体" w:hAnsi="黑体" w:eastAsia="黑体" w:cs="黑体"/>
          <w:sz w:val="32"/>
          <w:szCs w:val="32"/>
        </w:rPr>
        <w:t>第四章  资金拨付</w:t>
      </w:r>
    </w:p>
    <w:p>
      <w:pPr>
        <w:spacing w:line="58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 xml:space="preserve"> 第十条</w:t>
      </w:r>
      <w:r>
        <w:rPr>
          <w:rFonts w:hint="eastAsia" w:ascii="仿宋_GB2312" w:hAnsi="仿宋_GB2312" w:eastAsia="仿宋_GB2312" w:cs="仿宋_GB2312"/>
          <w:sz w:val="32"/>
          <w:szCs w:val="32"/>
        </w:rPr>
        <w:t xml:space="preserve">  区财政金融局收到省下达专项资金指标文件后5个工作日内及时将资金下达到区农业农村局。专项资金按照“先建后补”的方式使用，在项目建设完成并通过验收后拨付补助资金。</w:t>
      </w:r>
    </w:p>
    <w:p>
      <w:pPr>
        <w:spacing w:line="58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区农业农村局及时组织验收，项目验收应配备财务人员。项目承担单位提供正规票据凭证：（1）水产养殖池塘、工厂化养殖基地、水产种业基地、标准化莲（稻）池塘等陆地固定设施渔业补助项目应提供的正规票据凭证金额不小于财政补助资金金额。（2）全塑胶养殖渔排、深水抗风浪养殖网箱、筏式吊养浮球、生态养殖网箱（由深水抗风浪养殖网箱和全塑胶养殖渔排等组合构建）等海上可移动的设施渔业补助项目需提供项目投资总额的正规票据凭证。</w:t>
      </w:r>
    </w:p>
    <w:p>
      <w:pPr>
        <w:spacing w:line="58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验收结果及时公示，公示内容包括项目单位、实施地点、建设规模、建设时限、补助资金等，公示不少于5个工作日。</w:t>
      </w:r>
    </w:p>
    <w:p>
      <w:pPr>
        <w:spacing w:line="58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公示无异议，符合拨付条件的，区农业农村局按照财经管理制度及时上会研究资金发放事宜，在20个工作内拨付资金。</w:t>
      </w:r>
    </w:p>
    <w:p>
      <w:pPr>
        <w:spacing w:line="58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第十一条</w:t>
      </w:r>
      <w:r>
        <w:rPr>
          <w:rFonts w:hint="eastAsia" w:ascii="仿宋_GB2312" w:hAnsi="仿宋_GB2312" w:eastAsia="仿宋_GB2312" w:cs="仿宋_GB2312"/>
          <w:sz w:val="32"/>
          <w:szCs w:val="32"/>
        </w:rPr>
        <w:t xml:space="preserve">  区农业农村局、片区农业农村管理部门应加强项目实施的跟踪落实，对无法完成的项目要适时予以变更、调整或取消，因项目变更、取消等原因产生的资金结余应按照《财政部关于推进地方盘活财政存量资金有关事项的通知》（财预〔2015〕15号）和《平潭综合实验区管委会关于加强财政结余结转资金管理的通知》（岚综管综〔2015〕240号）等要求及时管理盘活。</w:t>
      </w:r>
    </w:p>
    <w:p>
      <w:pPr>
        <w:spacing w:line="580" w:lineRule="exact"/>
        <w:jc w:val="center"/>
        <w:rPr>
          <w:rFonts w:ascii="黑体" w:hAnsi="黑体" w:eastAsia="黑体" w:cs="黑体"/>
          <w:sz w:val="32"/>
          <w:szCs w:val="32"/>
        </w:rPr>
      </w:pPr>
      <w:r>
        <w:rPr>
          <w:rFonts w:hint="eastAsia" w:ascii="黑体" w:hAnsi="黑体" w:eastAsia="黑体" w:cs="黑体"/>
          <w:sz w:val="32"/>
          <w:szCs w:val="32"/>
        </w:rPr>
        <w:t>第五章  项目监督和绩效评价</w:t>
      </w:r>
    </w:p>
    <w:p>
      <w:pPr>
        <w:spacing w:line="58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第十二条</w:t>
      </w:r>
      <w:r>
        <w:rPr>
          <w:rFonts w:hint="eastAsia" w:ascii="仿宋_GB2312" w:hAnsi="仿宋_GB2312" w:eastAsia="仿宋_GB2312" w:cs="仿宋_GB2312"/>
          <w:sz w:val="32"/>
          <w:szCs w:val="32"/>
        </w:rPr>
        <w:t xml:space="preserve">  项目实施单位应对项目资金实行专账管理，确保专款专用，严格遵守相关财务管理规章制度。</w:t>
      </w:r>
    </w:p>
    <w:p>
      <w:pPr>
        <w:spacing w:line="58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第十三条</w:t>
      </w:r>
      <w:r>
        <w:rPr>
          <w:rFonts w:hint="eastAsia" w:ascii="仿宋_GB2312" w:hAnsi="仿宋_GB2312" w:eastAsia="仿宋_GB2312" w:cs="仿宋_GB2312"/>
          <w:sz w:val="32"/>
          <w:szCs w:val="32"/>
        </w:rPr>
        <w:t xml:space="preserve">  片区管理局负责对本片区专项资金使用情况开展绩效评价，并于每年9月中旬将上一年度绩效评价材料报送区农业农村局、财政金融局。区农业农村局、财政金融局要加强绩效评价工作，强化评价结果应用，并将绩效评价结果作为下一年度资金分配的依据。</w:t>
      </w:r>
    </w:p>
    <w:p>
      <w:pPr>
        <w:spacing w:line="58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第十四条</w:t>
      </w:r>
      <w:r>
        <w:rPr>
          <w:rFonts w:hint="eastAsia" w:ascii="仿宋_GB2312" w:hAnsi="仿宋_GB2312" w:eastAsia="仿宋_GB2312" w:cs="仿宋_GB2312"/>
          <w:sz w:val="32"/>
          <w:szCs w:val="32"/>
        </w:rPr>
        <w:t xml:space="preserve">  专项资金使用管理中存在虚报、冒领、截留、挤占、挪用等违法行为的，除责令将资金收回财政外，按照《预算法》、《财政违法行为处罚处分条例》等有关规定追究有关单位负责人及相关责任人员的相应责任。</w:t>
      </w:r>
    </w:p>
    <w:p>
      <w:pPr>
        <w:pStyle w:val="9"/>
        <w:spacing w:line="580" w:lineRule="exact"/>
        <w:ind w:firstLine="0" w:firstLineChars="0"/>
        <w:jc w:val="center"/>
        <w:rPr>
          <w:rFonts w:ascii="黑体" w:hAnsi="黑体" w:eastAsia="黑体" w:cs="黑体"/>
          <w:sz w:val="32"/>
          <w:szCs w:val="32"/>
        </w:rPr>
      </w:pPr>
      <w:r>
        <w:rPr>
          <w:rFonts w:hint="eastAsia" w:ascii="黑体" w:hAnsi="黑体" w:eastAsia="黑体" w:cs="黑体"/>
          <w:sz w:val="32"/>
          <w:szCs w:val="32"/>
        </w:rPr>
        <w:t>第六章  附则</w:t>
      </w:r>
    </w:p>
    <w:p>
      <w:pPr>
        <w:pStyle w:val="9"/>
        <w:spacing w:line="580" w:lineRule="exact"/>
        <w:ind w:firstLine="643"/>
        <w:rPr>
          <w:rFonts w:ascii="仿宋_GB2312" w:hAnsi="仿宋_GB2312" w:eastAsia="仿宋_GB2312" w:cs="仿宋_GB2312"/>
          <w:sz w:val="32"/>
          <w:szCs w:val="32"/>
        </w:rPr>
      </w:pPr>
      <w:r>
        <w:rPr>
          <w:rFonts w:hint="eastAsia" w:ascii="仿宋_GB2312" w:hAnsi="仿宋_GB2312" w:eastAsia="仿宋_GB2312" w:cs="仿宋_GB2312"/>
          <w:b/>
          <w:bCs/>
          <w:sz w:val="32"/>
          <w:szCs w:val="32"/>
        </w:rPr>
        <w:t xml:space="preserve">第十五条 </w:t>
      </w:r>
      <w:r>
        <w:rPr>
          <w:rFonts w:hint="eastAsia" w:ascii="仿宋_GB2312" w:hAnsi="仿宋_GB2312" w:eastAsia="仿宋_GB2312" w:cs="仿宋_GB2312"/>
          <w:sz w:val="32"/>
          <w:szCs w:val="32"/>
        </w:rPr>
        <w:t xml:space="preserve"> 本办法由区财政金融局会同区农业农村局负责解释。</w:t>
      </w:r>
    </w:p>
    <w:p>
      <w:pPr>
        <w:spacing w:line="580" w:lineRule="exact"/>
        <w:ind w:firstLine="643" w:firstLineChars="200"/>
        <w:rPr>
          <w:rFonts w:ascii="仿宋_GB2312" w:hAnsi="仿宋_GB2312" w:eastAsia="仿宋_GB2312" w:cs="仿宋_GB2312"/>
          <w:sz w:val="32"/>
          <w:szCs w:val="32"/>
        </w:rPr>
      </w:pPr>
      <w:r>
        <w:rPr>
          <w:rFonts w:hint="eastAsia" w:ascii="仿宋_GB2312" w:hAnsi="仿宋_GB2312" w:eastAsia="仿宋_GB2312" w:cs="仿宋_GB2312"/>
          <w:b/>
          <w:bCs/>
          <w:sz w:val="32"/>
          <w:szCs w:val="32"/>
        </w:rPr>
        <w:t>第十六条</w:t>
      </w:r>
      <w:r>
        <w:rPr>
          <w:rFonts w:hint="eastAsia" w:ascii="仿宋_GB2312" w:hAnsi="仿宋_GB2312" w:eastAsia="仿宋_GB2312" w:cs="仿宋_GB2312"/>
          <w:sz w:val="32"/>
          <w:szCs w:val="32"/>
        </w:rPr>
        <w:t xml:space="preserve">   本办法自印发之日起施行。</w:t>
      </w:r>
    </w:p>
    <w:p>
      <w:pPr>
        <w:spacing w:line="580" w:lineRule="exact"/>
        <w:ind w:left="640"/>
        <w:rPr>
          <w:rFonts w:ascii="仿宋_GB2312" w:hAnsi="仿宋_GB2312" w:eastAsia="仿宋_GB2312" w:cs="仿宋_GB2312"/>
          <w:sz w:val="32"/>
          <w:szCs w:val="32"/>
        </w:rPr>
      </w:pPr>
      <w:r>
        <w:rPr>
          <w:rFonts w:hint="eastAsia" w:ascii="仿宋_GB2312" w:hAnsi="仿宋_GB2312" w:eastAsia="仿宋_GB2312" w:cs="仿宋_GB2312"/>
          <w:sz w:val="32"/>
          <w:szCs w:val="32"/>
        </w:rPr>
        <w:t>附：福建省设施渔业项目补助标准</w:t>
      </w:r>
    </w:p>
    <w:p>
      <w:pPr>
        <w:jc w:val="center"/>
        <w:rPr>
          <w:rFonts w:ascii="方正小标宋简体" w:hAnsi="方正小标宋简体" w:eastAsia="方正小标宋简体" w:cs="方正小标宋简体"/>
          <w:sz w:val="44"/>
          <w:szCs w:val="44"/>
        </w:rPr>
      </w:pPr>
    </w:p>
    <w:p>
      <w:pPr>
        <w:jc w:val="center"/>
        <w:rPr>
          <w:rFonts w:hint="eastAsia" w:ascii="方正小标宋简体" w:hAnsi="方正小标宋简体" w:eastAsia="方正小标宋简体" w:cs="方正小标宋简体"/>
          <w:sz w:val="44"/>
          <w:szCs w:val="44"/>
        </w:rPr>
      </w:pPr>
    </w:p>
    <w:p>
      <w:pPr>
        <w:jc w:val="center"/>
        <w:rPr>
          <w:rFonts w:hint="eastAsia" w:ascii="方正小标宋简体" w:hAnsi="方正小标宋简体" w:eastAsia="方正小标宋简体" w:cs="方正小标宋简体"/>
          <w:sz w:val="44"/>
          <w:szCs w:val="44"/>
        </w:rPr>
      </w:pPr>
    </w:p>
    <w:p>
      <w:pPr>
        <w:jc w:val="center"/>
        <w:rPr>
          <w:rFonts w:hint="eastAsia" w:ascii="方正小标宋简体" w:hAnsi="方正小标宋简体" w:eastAsia="方正小标宋简体" w:cs="方正小标宋简体"/>
          <w:sz w:val="44"/>
          <w:szCs w:val="44"/>
        </w:rPr>
      </w:pPr>
    </w:p>
    <w:p>
      <w:pPr>
        <w:jc w:val="center"/>
        <w:rPr>
          <w:rFonts w:hint="eastAsia" w:ascii="方正小标宋简体" w:hAnsi="方正小标宋简体" w:eastAsia="方正小标宋简体" w:cs="方正小标宋简体"/>
          <w:sz w:val="44"/>
          <w:szCs w:val="44"/>
        </w:rPr>
      </w:pPr>
    </w:p>
    <w:p>
      <w:pPr>
        <w:jc w:val="center"/>
        <w:rPr>
          <w:rFonts w:hint="eastAsia" w:ascii="方正小标宋简体" w:hAnsi="方正小标宋简体" w:eastAsia="方正小标宋简体" w:cs="方正小标宋简体"/>
          <w:sz w:val="44"/>
          <w:szCs w:val="44"/>
        </w:rPr>
      </w:pPr>
    </w:p>
    <w:p>
      <w:pPr>
        <w:jc w:val="center"/>
        <w:rPr>
          <w:rFonts w:hint="eastAsia" w:ascii="方正小标宋简体" w:hAnsi="方正小标宋简体" w:eastAsia="方正小标宋简体" w:cs="方正小标宋简体"/>
          <w:sz w:val="44"/>
          <w:szCs w:val="44"/>
        </w:rPr>
      </w:pPr>
    </w:p>
    <w:p>
      <w:pPr>
        <w:jc w:val="center"/>
        <w:rPr>
          <w:rFonts w:hint="eastAsia" w:ascii="方正小标宋简体" w:hAnsi="方正小标宋简体" w:eastAsia="方正小标宋简体" w:cs="方正小标宋简体"/>
          <w:sz w:val="44"/>
          <w:szCs w:val="44"/>
        </w:rPr>
      </w:pPr>
    </w:p>
    <w:p>
      <w:pPr>
        <w:jc w:val="center"/>
        <w:rPr>
          <w:rFonts w:hint="eastAsia" w:ascii="方正小标宋简体" w:hAnsi="方正小标宋简体" w:eastAsia="方正小标宋简体" w:cs="方正小标宋简体"/>
          <w:sz w:val="44"/>
          <w:szCs w:val="44"/>
        </w:rPr>
      </w:pPr>
    </w:p>
    <w:p>
      <w:pPr>
        <w:jc w:val="center"/>
        <w:rPr>
          <w:rFonts w:hint="eastAsia" w:ascii="方正小标宋简体" w:hAnsi="方正小标宋简体" w:eastAsia="方正小标宋简体" w:cs="方正小标宋简体"/>
          <w:sz w:val="44"/>
          <w:szCs w:val="44"/>
        </w:rPr>
      </w:pPr>
    </w:p>
    <w:p>
      <w:pPr>
        <w:jc w:val="center"/>
        <w:rPr>
          <w:rFonts w:hint="eastAsia"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福建省设施渔业项目补助标准</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0"/>
        <w:gridCol w:w="30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项目类型</w:t>
            </w:r>
          </w:p>
        </w:tc>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补助标准上限</w:t>
            </w:r>
          </w:p>
        </w:tc>
        <w:tc>
          <w:tcPr>
            <w:tcW w:w="3021"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规模测算方式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1" w:type="dxa"/>
            <w:gridSpan w:val="3"/>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一、水产养殖池塘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1.标准化水产养殖池塘</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2500元/亩</w:t>
            </w:r>
          </w:p>
        </w:tc>
        <w:tc>
          <w:tcPr>
            <w:tcW w:w="3021" w:type="dxa"/>
            <w:vMerge w:val="restart"/>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养殖池塘面积=以池塘内沿测得的实际面积×1.15，不再计算塘埂面积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2.高标准水产养殖池塘</w:t>
            </w:r>
          </w:p>
        </w:tc>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5000元/亩</w:t>
            </w:r>
          </w:p>
        </w:tc>
        <w:tc>
          <w:tcPr>
            <w:tcW w:w="3021" w:type="dxa"/>
            <w:vMerge w:val="continue"/>
          </w:tcPr>
          <w:p>
            <w:pPr>
              <w:rPr>
                <w:rFonts w:ascii="仿宋_GB2312" w:hAnsi="仿宋_GB2312" w:eastAsia="仿宋_GB2312" w:cs="仿宋_GB2312"/>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3.工程化循环水养殖池塘</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400元/平方米</w:t>
            </w:r>
          </w:p>
        </w:tc>
        <w:tc>
          <w:tcPr>
            <w:tcW w:w="3021"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以循环水养殖池面积计算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1" w:type="dxa"/>
            <w:gridSpan w:val="3"/>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二、工厂化养殖基地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1.封闭式循环水工厂化养殖</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600元/平方米</w:t>
            </w:r>
          </w:p>
        </w:tc>
        <w:tc>
          <w:tcPr>
            <w:tcW w:w="3021"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以封闭式循环水养殖池面积计算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2.普通工厂化养殖</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150元/平方米</w:t>
            </w:r>
          </w:p>
        </w:tc>
        <w:tc>
          <w:tcPr>
            <w:tcW w:w="3021"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以养殖池面积计算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三、全塑胶养殖渔排</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170元/平方米</w:t>
            </w:r>
          </w:p>
        </w:tc>
        <w:tc>
          <w:tcPr>
            <w:tcW w:w="3021"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网箱面积以渔排框架外沿边长计算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1" w:type="dxa"/>
            <w:gridSpan w:val="3"/>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四、深水抗风浪养殖网箱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1.40米≤周长＜60米</w:t>
            </w:r>
          </w:p>
        </w:tc>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10万元/口</w:t>
            </w:r>
          </w:p>
        </w:tc>
        <w:tc>
          <w:tcPr>
            <w:tcW w:w="3021"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以网箱内沿长度计算。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2.60米≤周长＜90米</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20万元/口</w:t>
            </w:r>
          </w:p>
        </w:tc>
        <w:tc>
          <w:tcPr>
            <w:tcW w:w="3021"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以网箱内沿长度计算。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3.90米≤周长＜120米</w:t>
            </w:r>
          </w:p>
        </w:tc>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30万元/口</w:t>
            </w:r>
          </w:p>
        </w:tc>
        <w:tc>
          <w:tcPr>
            <w:tcW w:w="3021"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以网箱内沿长度计算。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4.120米≤周长＜150米</w:t>
            </w:r>
          </w:p>
        </w:tc>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40万元/口</w:t>
            </w:r>
          </w:p>
        </w:tc>
        <w:tc>
          <w:tcPr>
            <w:tcW w:w="3021"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以网箱内沿长度计算。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1" w:type="dxa"/>
            <w:gridSpan w:val="3"/>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五、筏式吊养浮球（高密度聚乙烯塑料）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1.球形浮球；直径不小于350毫米</w:t>
            </w:r>
          </w:p>
        </w:tc>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15元/粒</w:t>
            </w:r>
          </w:p>
        </w:tc>
        <w:tc>
          <w:tcPr>
            <w:tcW w:w="3021" w:type="dxa"/>
          </w:tcPr>
          <w:p>
            <w:pPr>
              <w:rPr>
                <w:rFonts w:ascii="仿宋_GB2312" w:hAnsi="仿宋_GB2312" w:eastAsia="仿宋_GB2312" w:cs="仿宋_GB2312"/>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1" w:type="dxa"/>
            <w:gridSpan w:val="3"/>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2.圆柱形浮球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（1）直径不小于230毫米，长度不小于450毫米</w:t>
            </w:r>
          </w:p>
        </w:tc>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15元/粒</w:t>
            </w:r>
          </w:p>
        </w:tc>
        <w:tc>
          <w:tcPr>
            <w:tcW w:w="3021" w:type="dxa"/>
          </w:tcPr>
          <w:p>
            <w:pPr>
              <w:rPr>
                <w:rFonts w:ascii="仿宋_GB2312" w:hAnsi="仿宋_GB2312" w:eastAsia="仿宋_GB2312" w:cs="仿宋_GB2312"/>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（2）直径不小于400毫米，长度不小于350毫米</w:t>
            </w:r>
          </w:p>
        </w:tc>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30元/粒</w:t>
            </w:r>
          </w:p>
        </w:tc>
        <w:tc>
          <w:tcPr>
            <w:tcW w:w="3021" w:type="dxa"/>
          </w:tcPr>
          <w:p>
            <w:pPr>
              <w:rPr>
                <w:rFonts w:ascii="仿宋_GB2312" w:hAnsi="仿宋_GB2312" w:eastAsia="仿宋_GB2312" w:cs="仿宋_GB2312"/>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（3）直径不小于400毫米，长度不小于400毫米</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35元/粒</w:t>
            </w:r>
          </w:p>
        </w:tc>
        <w:tc>
          <w:tcPr>
            <w:tcW w:w="3021" w:type="dxa"/>
          </w:tcPr>
          <w:p>
            <w:pPr>
              <w:rPr>
                <w:rFonts w:ascii="仿宋_GB2312" w:hAnsi="仿宋_GB2312" w:eastAsia="仿宋_GB2312" w:cs="仿宋_GB2312"/>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（4）直径不小于450毫米，长度不小于400毫米</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40元/粒</w:t>
            </w:r>
          </w:p>
        </w:tc>
        <w:tc>
          <w:tcPr>
            <w:tcW w:w="3021" w:type="dxa"/>
          </w:tcPr>
          <w:p>
            <w:pPr>
              <w:rPr>
                <w:rFonts w:ascii="仿宋_GB2312" w:hAnsi="仿宋_GB2312" w:eastAsia="仿宋_GB2312" w:cs="仿宋_GB2312"/>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28"/>
                <w:szCs w:val="28"/>
              </w:rPr>
              <w:t>（5）直径不小于500毫米，长度不小于900毫米</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100元/粒</w:t>
            </w:r>
          </w:p>
        </w:tc>
        <w:tc>
          <w:tcPr>
            <w:tcW w:w="3021" w:type="dxa"/>
          </w:tcPr>
          <w:p>
            <w:pPr>
              <w:rPr>
                <w:rFonts w:ascii="仿宋_GB2312" w:hAnsi="仿宋_GB2312" w:eastAsia="仿宋_GB2312" w:cs="仿宋_GB2312"/>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1" w:type="dxa"/>
            <w:gridSpan w:val="3"/>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六、生态养殖网箱平台</w:t>
            </w:r>
            <w:r>
              <w:rPr>
                <w:rFonts w:hint="eastAsia" w:ascii="仿宋_GB2312" w:hAnsi="仿宋_GB2312" w:eastAsia="仿宋_GB2312" w:cs="仿宋_GB2312"/>
                <w:kern w:val="0"/>
                <w:sz w:val="28"/>
                <w:szCs w:val="28"/>
              </w:rPr>
              <w:t>（由深水抗风浪养殖网箱和全塑胶养殖渔排等组合构建）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1.按照深水抗风浪养殖网箱标准建设的部分</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按照深水抗风浪养殖网箱标准补助</w:t>
            </w:r>
          </w:p>
        </w:tc>
        <w:tc>
          <w:tcPr>
            <w:tcW w:w="3021" w:type="dxa"/>
          </w:tcPr>
          <w:p>
            <w:pPr>
              <w:rPr>
                <w:rFonts w:ascii="仿宋_GB2312" w:hAnsi="仿宋_GB2312" w:eastAsia="仿宋_GB2312" w:cs="仿宋_GB2312"/>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2.按照全塑胶养殖渔排标准建设的部分</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按照全塑胶养殖渔排标准补助</w:t>
            </w:r>
          </w:p>
        </w:tc>
        <w:tc>
          <w:tcPr>
            <w:tcW w:w="3021" w:type="dxa"/>
          </w:tcPr>
          <w:p>
            <w:pPr>
              <w:rPr>
                <w:rFonts w:ascii="仿宋_GB2312" w:hAnsi="仿宋_GB2312" w:eastAsia="仿宋_GB2312" w:cs="仿宋_GB2312"/>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1" w:type="dxa"/>
            <w:gridSpan w:val="3"/>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七、水产种业基地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1.按省级原良种场规模要求建设的种苗繁育基地</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200万元</w:t>
            </w:r>
          </w:p>
        </w:tc>
        <w:tc>
          <w:tcPr>
            <w:tcW w:w="3021" w:type="dxa"/>
          </w:tcPr>
          <w:p>
            <w:pPr>
              <w:rPr>
                <w:rFonts w:ascii="仿宋_GB2312" w:hAnsi="仿宋_GB2312" w:eastAsia="仿宋_GB2312" w:cs="仿宋_GB2312"/>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2.按市级良种场规模要求建设的种苗繁育基地</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100万元</w:t>
            </w:r>
          </w:p>
        </w:tc>
        <w:tc>
          <w:tcPr>
            <w:tcW w:w="3021" w:type="dxa"/>
          </w:tcPr>
          <w:p>
            <w:pPr>
              <w:rPr>
                <w:rFonts w:ascii="仿宋_GB2312" w:hAnsi="仿宋_GB2312" w:eastAsia="仿宋_GB2312" w:cs="仿宋_GB2312"/>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3.特种水产种苗繁育基地</w:t>
            </w:r>
          </w:p>
        </w:tc>
        <w:tc>
          <w:tcPr>
            <w:tcW w:w="3020" w:type="dxa"/>
          </w:tcPr>
          <w:p>
            <w:pPr>
              <w:rPr>
                <w:rFonts w:ascii="仿宋_GB2312" w:hAnsi="仿宋_GB2312" w:eastAsia="仿宋_GB2312" w:cs="仿宋_GB2312"/>
                <w:kern w:val="0"/>
                <w:sz w:val="28"/>
                <w:szCs w:val="28"/>
              </w:rPr>
            </w:pPr>
            <w:r>
              <w:rPr>
                <w:rFonts w:hint="eastAsia" w:ascii="仿宋_GB2312" w:hAnsi="仿宋_GB2312" w:eastAsia="仿宋_GB2312" w:cs="仿宋_GB2312"/>
                <w:kern w:val="0"/>
                <w:sz w:val="28"/>
                <w:szCs w:val="28"/>
              </w:rPr>
              <w:t>达到省级规模的，补助200万元；达到市级规模的，补助100万元。</w:t>
            </w:r>
          </w:p>
        </w:tc>
        <w:tc>
          <w:tcPr>
            <w:tcW w:w="3021" w:type="dxa"/>
          </w:tcPr>
          <w:p>
            <w:pPr>
              <w:rPr>
                <w:rFonts w:ascii="仿宋_GB2312" w:hAnsi="仿宋_GB2312" w:eastAsia="仿宋_GB2312" w:cs="仿宋_GB2312"/>
                <w:kern w:val="0"/>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八、标准化莲（稻）渔塘</w:t>
            </w:r>
          </w:p>
        </w:tc>
        <w:tc>
          <w:tcPr>
            <w:tcW w:w="3020" w:type="dxa"/>
          </w:tcPr>
          <w:p>
            <w:pPr>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4000元/亩</w:t>
            </w:r>
          </w:p>
        </w:tc>
        <w:tc>
          <w:tcPr>
            <w:tcW w:w="3021" w:type="dxa"/>
          </w:tcPr>
          <w:p>
            <w:pPr>
              <w:rPr>
                <w:rFonts w:ascii="仿宋_GB2312" w:hAnsi="仿宋_GB2312" w:eastAsia="仿宋_GB2312" w:cs="仿宋_GB2312"/>
                <w:kern w:val="0"/>
                <w:sz w:val="32"/>
                <w:szCs w:val="32"/>
              </w:rPr>
            </w:pPr>
          </w:p>
        </w:tc>
      </w:tr>
    </w:tbl>
    <w:p>
      <w:pPr>
        <w:rPr>
          <w:rFonts w:ascii="仿宋_GB2312" w:hAnsi="仿宋_GB2312" w:eastAsia="仿宋_GB2312" w:cs="仿宋_GB2312"/>
          <w:sz w:val="32"/>
          <w:szCs w:val="32"/>
        </w:rPr>
      </w:pPr>
    </w:p>
    <w:p/>
    <w:sectPr>
      <w:footerReference r:id="rId3" w:type="default"/>
      <w:pgSz w:w="11906" w:h="16838"/>
      <w:pgMar w:top="1701" w:right="1474" w:bottom="1417" w:left="1587"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pict>
        <v:shape id="_x0000_s4097" o:spid="_x0000_s4097" o:spt="202" type="#_x0000_t202" style="position:absolute;left:0pt;margin-top:0pt;height:144pt;width:144pt;mso-position-horizontal:center;mso-position-horizontal-relative:margin;mso-wrap-style:none;z-index:251658240;mso-width-relative:page;mso-height-relative:page;" filled="f" stroked="f" coordsize="21600,21600">
          <v:path/>
          <v:fill on="f" focussize="0,0"/>
          <v:stroke on="f" joinstyle="miter"/>
          <v:imagedata o:title=""/>
          <o:lock v:ext="edit"/>
          <v:textbox inset="0mm,0mm,0mm,0mm" style="mso-fit-shape-to-text:t;">
            <w:txbxContent>
              <w:p>
                <w:pPr>
                  <w:pStyle w:val="2"/>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4A45C6"/>
    <w:rsid w:val="0004115D"/>
    <w:rsid w:val="000654FC"/>
    <w:rsid w:val="00092DE0"/>
    <w:rsid w:val="000D3A17"/>
    <w:rsid w:val="000F5747"/>
    <w:rsid w:val="0011398C"/>
    <w:rsid w:val="001257D1"/>
    <w:rsid w:val="00146AF1"/>
    <w:rsid w:val="002241AF"/>
    <w:rsid w:val="002D2504"/>
    <w:rsid w:val="002D538F"/>
    <w:rsid w:val="00307AA7"/>
    <w:rsid w:val="00344CC4"/>
    <w:rsid w:val="00381AC7"/>
    <w:rsid w:val="003C0E5A"/>
    <w:rsid w:val="003C6D0D"/>
    <w:rsid w:val="003E4473"/>
    <w:rsid w:val="003F1CF7"/>
    <w:rsid w:val="00406B40"/>
    <w:rsid w:val="0040721B"/>
    <w:rsid w:val="00476F55"/>
    <w:rsid w:val="00481105"/>
    <w:rsid w:val="004A45C6"/>
    <w:rsid w:val="004F4FA1"/>
    <w:rsid w:val="005335F1"/>
    <w:rsid w:val="006224F0"/>
    <w:rsid w:val="0067036D"/>
    <w:rsid w:val="006A371C"/>
    <w:rsid w:val="00744C47"/>
    <w:rsid w:val="00782AED"/>
    <w:rsid w:val="007879FC"/>
    <w:rsid w:val="007B1EA6"/>
    <w:rsid w:val="007C7B4A"/>
    <w:rsid w:val="007E673B"/>
    <w:rsid w:val="00811635"/>
    <w:rsid w:val="008501D8"/>
    <w:rsid w:val="008777FD"/>
    <w:rsid w:val="00895FBE"/>
    <w:rsid w:val="008E7789"/>
    <w:rsid w:val="0092716D"/>
    <w:rsid w:val="00941269"/>
    <w:rsid w:val="00970CBA"/>
    <w:rsid w:val="009760EC"/>
    <w:rsid w:val="009831B9"/>
    <w:rsid w:val="009D263D"/>
    <w:rsid w:val="00A12287"/>
    <w:rsid w:val="00A5585C"/>
    <w:rsid w:val="00AC1CF9"/>
    <w:rsid w:val="00B2619F"/>
    <w:rsid w:val="00B5342D"/>
    <w:rsid w:val="00B824F8"/>
    <w:rsid w:val="00BA10D6"/>
    <w:rsid w:val="00BC7B71"/>
    <w:rsid w:val="00BD6F20"/>
    <w:rsid w:val="00BE57DD"/>
    <w:rsid w:val="00BF7C51"/>
    <w:rsid w:val="00C32D3C"/>
    <w:rsid w:val="00C53BA0"/>
    <w:rsid w:val="00C74FEF"/>
    <w:rsid w:val="00CA6E57"/>
    <w:rsid w:val="00CE220A"/>
    <w:rsid w:val="00D60630"/>
    <w:rsid w:val="00D62C32"/>
    <w:rsid w:val="00DB3062"/>
    <w:rsid w:val="00E129BC"/>
    <w:rsid w:val="00E12B1A"/>
    <w:rsid w:val="00E20601"/>
    <w:rsid w:val="00E7770A"/>
    <w:rsid w:val="00ED1A55"/>
    <w:rsid w:val="00ED1FF1"/>
    <w:rsid w:val="00ED5E86"/>
    <w:rsid w:val="00ED7EDE"/>
    <w:rsid w:val="00F40AA1"/>
    <w:rsid w:val="00F50ABB"/>
    <w:rsid w:val="00F73F69"/>
    <w:rsid w:val="00F92021"/>
    <w:rsid w:val="00FC14F5"/>
    <w:rsid w:val="00FD07F3"/>
    <w:rsid w:val="09526F07"/>
    <w:rsid w:val="0AE62571"/>
    <w:rsid w:val="16352745"/>
    <w:rsid w:val="3F74152C"/>
    <w:rsid w:val="4E0F17C3"/>
    <w:rsid w:val="558B735F"/>
    <w:rsid w:val="77115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unhideWhenUsed/>
    <w:qFormat/>
    <w:uiPriority w:val="99"/>
    <w:pPr>
      <w:tabs>
        <w:tab w:val="center" w:pos="4153"/>
        <w:tab w:val="right" w:pos="8306"/>
      </w:tabs>
      <w:snapToGrid w:val="0"/>
      <w:jc w:val="left"/>
    </w:pPr>
    <w:rPr>
      <w:sz w:val="18"/>
      <w:szCs w:val="18"/>
    </w:rPr>
  </w:style>
  <w:style w:type="paragraph" w:styleId="3">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semiHidden/>
    <w:qFormat/>
    <w:uiPriority w:val="99"/>
    <w:rPr>
      <w:sz w:val="18"/>
      <w:szCs w:val="18"/>
    </w:rPr>
  </w:style>
  <w:style w:type="character" w:customStyle="1" w:styleId="8">
    <w:name w:val="页脚 Char"/>
    <w:basedOn w:val="6"/>
    <w:link w:val="2"/>
    <w:semiHidden/>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528</Words>
  <Characters>3011</Characters>
  <Lines>25</Lines>
  <Paragraphs>7</Paragraphs>
  <TotalTime>156</TotalTime>
  <ScaleCrop>false</ScaleCrop>
  <LinksUpToDate>false</LinksUpToDate>
  <CharactersWithSpaces>3532</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2020-01-13T09:23:00Z</dcterms:created>
  <dc:creator>china</dc:creator>
  <cp:lastModifiedBy>lenovo</cp:lastModifiedBy>
  <cp:lastPrinted>2020-04-07T09:25:00Z</cp:lastPrinted>
  <dcterms:modified xsi:type="dcterms:W3CDTF">2020-05-06T03:20:56Z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