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9"/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</w:pPr>
      <w:bookmarkStart w:id="0" w:name="_Toc32617"/>
    </w:p>
    <w:p>
      <w:pPr>
        <w:jc w:val="center"/>
        <w:outlineLvl w:val="9"/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</w:pPr>
      <w:bookmarkStart w:id="1" w:name="_Toc18295"/>
      <w:r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  <w:t>平潭综合实验区医院2024年供应室耗材采购项目方案</w:t>
      </w:r>
      <w:bookmarkEnd w:id="0"/>
      <w:bookmarkEnd w:id="1"/>
    </w:p>
    <w:p>
      <w:pPr>
        <w:jc w:val="center"/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</w:pPr>
    </w:p>
    <w:p>
      <w:pPr>
        <w:jc w:val="center"/>
        <w:outlineLvl w:val="9"/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</w:pPr>
      <w:bookmarkStart w:id="2" w:name="_Toc13240"/>
      <w:bookmarkStart w:id="3" w:name="_Toc13205"/>
      <w:r>
        <w:rPr>
          <w:rFonts w:hint="eastAsia" w:ascii="宋体" w:hAnsi="宋体" w:cs="宋体"/>
          <w:b/>
          <w:bCs/>
          <w:color w:val="000000"/>
          <w:spacing w:val="100"/>
          <w:sz w:val="44"/>
          <w:szCs w:val="44"/>
          <w:lang w:val="en-US" w:eastAsia="zh-CN"/>
        </w:rPr>
        <w:t>副</w:t>
      </w:r>
      <w:r>
        <w:rPr>
          <w:rFonts w:hint="eastAsia" w:ascii="宋体" w:hAnsi="宋体" w:eastAsia="宋体" w:cs="宋体"/>
          <w:b/>
          <w:bCs/>
          <w:color w:val="000000"/>
          <w:spacing w:val="100"/>
          <w:sz w:val="44"/>
          <w:szCs w:val="44"/>
          <w:lang w:val="en-US" w:eastAsia="zh-CN"/>
        </w:rPr>
        <w:t>本</w:t>
      </w:r>
      <w:bookmarkEnd w:id="2"/>
      <w:bookmarkEnd w:id="3"/>
    </w:p>
    <w:p>
      <w:pPr>
        <w:spacing w:line="360" w:lineRule="auto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>
      <w:pPr>
        <w:spacing w:line="360" w:lineRule="auto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>
      <w:pPr>
        <w:spacing w:line="360" w:lineRule="auto"/>
        <w:jc w:val="center"/>
        <w:rPr>
          <w:rFonts w:hint="default" w:ascii="宋体" w:hAnsi="宋体" w:eastAsia="宋体" w:cs="宋体"/>
          <w:b/>
          <w:color w:val="000000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color w:val="000000"/>
          <w:sz w:val="44"/>
          <w:szCs w:val="44"/>
          <w:lang w:eastAsia="zh-CN"/>
        </w:rPr>
        <w:t>合同包：</w:t>
      </w:r>
      <w:r>
        <w:rPr>
          <w:rFonts w:hint="eastAsia" w:ascii="宋体" w:hAnsi="宋体" w:cs="宋体"/>
          <w:b/>
          <w:color w:val="000000"/>
          <w:sz w:val="44"/>
          <w:szCs w:val="44"/>
          <w:lang w:val="en-US" w:eastAsia="zh-CN"/>
        </w:rPr>
        <w:t>1</w:t>
      </w:r>
    </w:p>
    <w:p>
      <w:pPr>
        <w:spacing w:line="360" w:lineRule="auto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>
      <w:pPr>
        <w:spacing w:line="360" w:lineRule="auto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>
      <w:pPr>
        <w:spacing w:line="360" w:lineRule="auto"/>
        <w:rPr>
          <w:rFonts w:hint="eastAsia" w:ascii="宋体" w:hAnsi="宋体" w:eastAsia="宋体" w:cs="宋体"/>
          <w:b/>
          <w:color w:val="000000"/>
          <w:sz w:val="44"/>
          <w:szCs w:val="44"/>
        </w:rPr>
      </w:pPr>
    </w:p>
    <w:p>
      <w:pPr>
        <w:pStyle w:val="6"/>
        <w:jc w:val="both"/>
        <w:outlineLvl w:val="9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</w:p>
    <w:p>
      <w:pPr>
        <w:spacing w:line="360" w:lineRule="auto"/>
        <w:ind w:left="2160" w:hanging="2168" w:hangingChars="600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</w:pPr>
    </w:p>
    <w:p>
      <w:pPr>
        <w:spacing w:line="360" w:lineRule="auto"/>
        <w:ind w:left="2160" w:hanging="2168" w:hangingChars="600"/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</w:pPr>
    </w:p>
    <w:p>
      <w:pPr>
        <w:spacing w:line="360" w:lineRule="auto"/>
        <w:ind w:left="2160" w:hanging="2168" w:hangingChars="600"/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</w:pPr>
    </w:p>
    <w:p>
      <w:pPr>
        <w:spacing w:line="360" w:lineRule="auto"/>
        <w:ind w:left="2160" w:hanging="2168" w:hangingChars="600"/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</w:pPr>
    </w:p>
    <w:p>
      <w:pPr>
        <w:spacing w:line="360" w:lineRule="auto"/>
        <w:ind w:left="2160" w:hanging="2168" w:hangingChars="600"/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 xml:space="preserve">  　　　</w:t>
      </w:r>
    </w:p>
    <w:p>
      <w:pPr>
        <w:jc w:val="center"/>
        <w:rPr>
          <w:rFonts w:hint="eastAsia" w:ascii="宋体" w:hAnsi="宋体" w:eastAsia="宋体" w:cs="宋体"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 xml:space="preserve">日  </w:t>
      </w:r>
      <w:r>
        <w:rPr>
          <w:rFonts w:hint="eastAsia" w:ascii="宋体" w:hAnsi="宋体" w:cs="宋体"/>
          <w:b/>
          <w:bCs/>
          <w:color w:val="000000"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期 ：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u w:val="single"/>
          <w:lang w:val="en-US" w:eastAsia="zh-CN"/>
        </w:rPr>
        <w:t>2023年</w:t>
      </w:r>
      <w:r>
        <w:rPr>
          <w:rFonts w:hint="eastAsia" w:ascii="宋体" w:hAnsi="宋体" w:cs="宋体"/>
          <w:b/>
          <w:bCs/>
          <w:color w:val="000000"/>
          <w:sz w:val="36"/>
          <w:szCs w:val="36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u w:val="single"/>
          <w:lang w:val="en-US" w:eastAsia="zh-CN"/>
        </w:rPr>
        <w:t>月</w:t>
      </w:r>
      <w:r>
        <w:rPr>
          <w:rFonts w:hint="eastAsia" w:ascii="宋体" w:hAnsi="宋体" w:cs="宋体"/>
          <w:b/>
          <w:bCs/>
          <w:color w:val="000000"/>
          <w:sz w:val="36"/>
          <w:szCs w:val="36"/>
          <w:u w:val="single"/>
          <w:lang w:val="en-US" w:eastAsia="zh-CN"/>
        </w:rPr>
        <w:t>20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u w:val="single"/>
          <w:lang w:val="en-US" w:eastAsia="zh-CN"/>
        </w:rPr>
        <w:t>日</w:t>
      </w:r>
    </w:p>
    <w:p/>
    <w:p/>
    <w:p/>
    <w:p/>
    <w:p/>
    <w:p/>
    <w:p/>
    <w:p/>
    <w:p/>
    <w:p/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393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_Toc22751 </w:instrText>
          </w:r>
          <w:r>
            <w:fldChar w:fldCharType="separate"/>
          </w:r>
          <w:r>
            <w:rPr>
              <w:rFonts w:hint="eastAsia" w:ascii="宋体" w:hAnsi="宋体" w:cs="宋体"/>
              <w:szCs w:val="36"/>
              <w:lang w:val="en-US" w:eastAsia="zh-CN"/>
            </w:rPr>
            <w:t>一、 项目征集方案</w:t>
          </w:r>
          <w:r>
            <w:tab/>
          </w:r>
          <w:r>
            <w:fldChar w:fldCharType="begin"/>
          </w:r>
          <w:r>
            <w:instrText xml:space="preserve"> PAGEREF _Toc22751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_Toc23652 </w:instrText>
          </w:r>
          <w:r>
            <w:fldChar w:fldCharType="separate"/>
          </w:r>
          <w:r>
            <w:rPr>
              <w:rFonts w:hint="eastAsia" w:ascii="宋体" w:hAnsi="宋体" w:cs="宋体"/>
              <w:szCs w:val="36"/>
              <w:lang w:val="en-US" w:eastAsia="zh-CN"/>
            </w:rPr>
            <w:t>二、 配送服务及售后承诺书</w:t>
          </w:r>
          <w:r>
            <w:tab/>
          </w:r>
          <w:r>
            <w:fldChar w:fldCharType="begin"/>
          </w:r>
          <w:r>
            <w:instrText xml:space="preserve"> PAGEREF _Toc23652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</w:p>
        <w:p>
          <w: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p>
      <w:pPr>
        <w:numPr>
          <w:ilvl w:val="0"/>
          <w:numId w:val="1"/>
        </w:numPr>
        <w:outlineLvl w:val="0"/>
        <w:rPr>
          <w:rFonts w:hint="eastAsia" w:ascii="宋体" w:hAnsi="宋体" w:cs="宋体"/>
          <w:color w:val="000000"/>
          <w:sz w:val="36"/>
          <w:szCs w:val="36"/>
          <w:lang w:val="en-US" w:eastAsia="zh-CN"/>
        </w:rPr>
      </w:pPr>
      <w:bookmarkStart w:id="4" w:name="_Toc9844"/>
      <w:bookmarkStart w:id="5" w:name="_Toc22751"/>
      <w:r>
        <w:rPr>
          <w:rFonts w:hint="eastAsia" w:ascii="宋体" w:hAnsi="宋体" w:cs="宋体"/>
          <w:color w:val="000000"/>
          <w:sz w:val="36"/>
          <w:szCs w:val="36"/>
          <w:lang w:val="en-US" w:eastAsia="zh-CN"/>
        </w:rPr>
        <w:t>项目征集方案</w:t>
      </w:r>
      <w:bookmarkEnd w:id="4"/>
      <w:bookmarkEnd w:id="5"/>
    </w:p>
    <w:p>
      <w:pPr>
        <w:numPr>
          <w:ilvl w:val="0"/>
          <w:numId w:val="0"/>
        </w:numPr>
        <w:jc w:val="center"/>
        <w:outlineLvl w:val="9"/>
        <w:rPr>
          <w:rFonts w:hint="eastAsia" w:ascii="宋体" w:hAnsi="宋体" w:cs="宋体"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C4C4C"/>
          <w:spacing w:val="0"/>
          <w:sz w:val="24"/>
          <w:szCs w:val="24"/>
          <w:shd w:val="clear" w:fill="FFFFFF"/>
        </w:rPr>
        <w:t>合同包1：包装类</w:t>
      </w:r>
    </w:p>
    <w:tbl>
      <w:tblPr>
        <w:tblStyle w:val="4"/>
        <w:tblW w:w="1412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1086"/>
        <w:gridCol w:w="783"/>
        <w:gridCol w:w="1684"/>
        <w:gridCol w:w="1133"/>
        <w:gridCol w:w="1217"/>
        <w:gridCol w:w="1416"/>
        <w:gridCol w:w="1268"/>
        <w:gridCol w:w="3482"/>
        <w:gridCol w:w="15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品目号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品名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采购数量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总价（元）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参数要求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使用机器品牌型号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吸水纸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25*35cm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0.80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2400.00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在压力蒸汽灭菌时可快速地吸收灭菌包中的冷凝水，有效地保证灭菌包的干燥性。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手术室所有器械包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吸水纸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20*45cm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1.25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3125.00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吸水纸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30*50cm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1.35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4050.00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吸水纸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40*45cm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1.70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13600.00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医用无纺布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60*60cm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8500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1.75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14875.00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1.原材料要求：聚丙烯PP颗粒；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▲2.克重：大于或等于50克/平方；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3.达到ISO13485认证标准；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4.执行标准：GB/T19633-2005/ISO11607:2003、YY/T0698.2-2009；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5.适用于压力蒸汽灭菌、环氧乙烷灭菌、以及过氧化氢低温等离子灭菌；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★6.生产环境为万级净化车间。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洁定HS6617高温蒸汽灭菌器、山东新华XG2、C环氧乙烷灭菌器、强生STERRAD100NX过氧化氢灭菌器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医用无纺布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80*80cm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1.90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66500.00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医用无纺布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100*100cm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2.50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23750.00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医用无纺布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120*120cm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37000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4.15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153550.00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医用无纺布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150*150cm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8.80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10560.00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10cm*200m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460.00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87400.00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1.原材料要求：产品由透明带色的PET/CPP复合膜与医用透析纸烫合而成；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▲2.医用透析纸克重：大于或等于70克/平方；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3.达到ISO13485认证标准；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4.执行标准：GB/T19633-2005、YY/T0698.5-2009；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5.适用于压力蒸汽灭菌、环氧乙烷灭菌；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★6.需具备以下资质：卫生安全评价报告、微生物屏障性能、灭菌因子穿透性能、180天无菌有效期验证、生物相容性、细胞毒性，EO残留量测定、酸碱度测定、 生物指示菌实验、产品内芯为塑料材质，避免在使用过程中掉落纸屑；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★7.生产环境为万级净化车间。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洁定HS6617高温蒸汽灭菌器、山东新华XG2.C环氧乙烷灭菌器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15cm*200m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600.00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18000.00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20cm*200m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830.00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24900.00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25cm*200m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930.00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27900.00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100mm*50mm*100m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245.00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7350.00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200mm*50mm*100m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485.00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7275.00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250mm*55mm*100m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610.00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9150.00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纸塑包装袋(高压、环氧乙烷灭菌)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350mm*65mm*100m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740.00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6660.00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纸塑包装袋(过氧化氢低温等离子灭菌)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10cm*80m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420.00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6300.00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★1.原材料要求：袋卷透明膜为聚乙烯聚酯层材料，纸面为聚烯烃材料；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2.纸张克重：不低于70克/平方；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3.达到ISO13485认证标准；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4.执行标准：GB/T19633-2005；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提供资质证件包括：卫生安全评价报告、微生物屏障性能、灭菌因子穿透性能、180天无菌有效期验证、生物相容性、细胞毒性，过氧化氢残留量、18个月稳定性检测、PH/硫酸盐/氯化物/荧光物检测、产品内芯为塑料材质，避免在使用过程中掉落纸屑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★6.生产环境为万级净化车间。        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强生STERRAD100NX过氧化氢灭菌器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纸塑包装袋(过氧化氢低温等离子灭菌)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15cm*80m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640.00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9600.00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纸塑包装袋(过氧化氢低温等离子灭菌)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20cm*80m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825.00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12375.00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纸塑包装袋(过氧化氢低温等离子灭菌)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25cm*80m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1050.00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21000.00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纸塑包装袋(过氧化氢低温等离子灭菌)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卷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35cm*80m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1220.00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24400.00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医用封口机测试纸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高温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2220.00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1.可用于医用封口机在每日使用前检查参数的准确性和闭合完好性；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2.采用复合膜与透析纸，双层结构，与纸塑包装袋(高压、环氧乙烷灭菌)结构相同，符合封口性能检测要求；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3.可用于对封口设备使用时性能参数的综合检测和记录；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4.可直观显示封口设备的封口效果和封口质量，突出显示其封口缺陷，配合封口机自带的运行鉴定程序进行打印记录；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5.及时发现封口问题并及时调整封口参数，使其满足正常封口需要，保证其封口质量。并可存档作为以后对该批次封口产品封口效果的验证或检测；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6.封口质量能满足以下要求： (1)规定密封宽度的完整密封；（2）无通道或开封；（3）无穿孔和撕开；（4）无材料分层和分离。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山东新华 XH120-A医用高温封口机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医用封口机测试纸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低温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3330.00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1.可用于医用封口机在每日使用前检查参数的准确性和闭合完好性；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2.采用复合膜与高密度聚乙烯纤维材料制作而成，双层结构，与纸塑包装袋(过氧化氢低温等离子灭菌)结构相同，符合封口性能检测要求；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3.可用于对封口设备使用时性能参数的综合检测和记录；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4.可直观显示封口设备的封口效果和封口质量，突出显示其封口缺陷，配合封口机自带的运行鉴定程序进行打印记录；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5.及时发现封口问题并及时调整封口参数，使其满足正常封口需要，保证其封口质量。并可存档作为以后对该批次封口产品封口效果的验证或检测；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6.封口质量能满足以下要求： (1)规定密封宽度的完整密封；（2）无通道或开封；（3）无穿孔和撕开；（4）无材料分层和分离。</w:t>
            </w: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医用封口机色带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760.00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15200.00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1.可用于纸塑包装袋封口时打印灭菌信息；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2.采用高档尼龙带基、进口日本高级油墨，腐蚀性低，油墨颗粒细，防水，防晒，打印持久。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山东新华 XH120-A医用高温封口机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清洗消毒机色带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个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ERC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52.00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520.00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1.适用于科室现有清洗消毒机使用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2.打印字量：300万字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美国史帝瑞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器械保护套（拉舌钳)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盒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200个/盒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1050.00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1050.00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1.可用于拉舌钳的保护，避免器械刃部对人员产生伤害；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2.采用食品级硅胶材质，内置X光显影线。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拉舌钳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械保护套4*6mm（透明））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盒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100/盒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9000.00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1.可用于锐利器械及拉舌钳的保护，避免器械刃部损坏包装穿破和人员伤害；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2.采用食品级硅胶材质，内置X光显影线。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所有尖锐器械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械保护套5*7mm（透明））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盒</w:t>
            </w:r>
          </w:p>
        </w:tc>
        <w:tc>
          <w:tcPr>
            <w:tcW w:w="1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100/盒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200.00 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4000.00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9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0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器械保护套1.4*3.2*35mm（透明））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盒</w:t>
            </w:r>
          </w:p>
        </w:tc>
        <w:tc>
          <w:tcPr>
            <w:tcW w:w="16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6000个/盒</w:t>
            </w:r>
          </w:p>
        </w:tc>
        <w:tc>
          <w:tcPr>
            <w:tcW w:w="11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1530.00 </w:t>
            </w:r>
          </w:p>
        </w:tc>
        <w:tc>
          <w:tcPr>
            <w:tcW w:w="14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15300.00 </w:t>
            </w:r>
          </w:p>
        </w:tc>
        <w:tc>
          <w:tcPr>
            <w:tcW w:w="12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蔓芙莱</w:t>
            </w:r>
          </w:p>
        </w:tc>
        <w:tc>
          <w:tcPr>
            <w:tcW w:w="34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1.可用于锐利器械及拉舌钳的保护，避免器械刃部损坏包装穿破和人员伤害；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2.采用食品级硅胶材质，内置X光显影线。</w:t>
            </w:r>
          </w:p>
        </w:tc>
        <w:tc>
          <w:tcPr>
            <w:tcW w:w="1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所有尖锐器械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49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1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6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39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合计（元）</w:t>
            </w:r>
          </w:p>
        </w:tc>
        <w:tc>
          <w:tcPr>
            <w:tcW w:w="14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.00 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numPr>
          <w:ilvl w:val="0"/>
          <w:numId w:val="0"/>
        </w:numPr>
        <w:outlineLvl w:val="9"/>
        <w:rPr>
          <w:rFonts w:hint="eastAsia" w:ascii="宋体" w:hAnsi="宋体" w:cs="宋体"/>
          <w:color w:val="000000"/>
          <w:sz w:val="36"/>
          <w:szCs w:val="36"/>
          <w:lang w:val="en-US" w:eastAsia="zh-CN"/>
        </w:rPr>
      </w:pPr>
    </w:p>
    <w:p/>
    <w:p/>
    <w:p/>
    <w:p/>
    <w:p/>
    <w:p/>
    <w:p/>
    <w:p/>
    <w:p/>
    <w:p/>
    <w:p>
      <w:pPr>
        <w:sectPr>
          <w:pgSz w:w="16838" w:h="11906" w:orient="landscape"/>
          <w:pgMar w:top="1800" w:right="1440" w:bottom="1800" w:left="1440" w:header="851" w:footer="992" w:gutter="0"/>
          <w:pgNumType w:fmt="numberInDash"/>
          <w:cols w:space="425" w:num="1"/>
          <w:docGrid w:type="lines" w:linePitch="312" w:charSpace="0"/>
        </w:sectPr>
      </w:pPr>
    </w:p>
    <w:p>
      <w:pPr>
        <w:numPr>
          <w:ilvl w:val="0"/>
          <w:numId w:val="1"/>
        </w:numPr>
        <w:outlineLvl w:val="0"/>
        <w:rPr>
          <w:rFonts w:hint="eastAsia" w:ascii="宋体" w:hAnsi="宋体" w:cs="宋体"/>
          <w:color w:val="000000"/>
          <w:sz w:val="36"/>
          <w:szCs w:val="36"/>
          <w:lang w:val="en-US" w:eastAsia="zh-CN"/>
        </w:rPr>
      </w:pPr>
      <w:bookmarkStart w:id="6" w:name="_Toc2300"/>
      <w:bookmarkStart w:id="7" w:name="_Toc23652"/>
      <w:r>
        <w:rPr>
          <w:rFonts w:hint="eastAsia" w:ascii="宋体" w:hAnsi="宋体" w:cs="宋体"/>
          <w:color w:val="000000"/>
          <w:sz w:val="36"/>
          <w:szCs w:val="36"/>
          <w:lang w:val="en-US" w:eastAsia="zh-CN"/>
        </w:rPr>
        <w:t>配送服务及售后承诺书</w:t>
      </w:r>
      <w:bookmarkEnd w:id="6"/>
      <w:bookmarkEnd w:id="7"/>
    </w:p>
    <w:p>
      <w:pPr>
        <w:jc w:val="center"/>
        <w:rPr>
          <w:rFonts w:hint="eastAsia" w:asciiTheme="minorEastAsia" w:hAnsiTheme="minorEastAsia" w:eastAsiaTheme="minorEastAsia" w:cstheme="minorEastAsia"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sz w:val="28"/>
          <w:szCs w:val="36"/>
        </w:rPr>
        <w:t>配送服务</w:t>
      </w:r>
      <w:r>
        <w:rPr>
          <w:rFonts w:hint="eastAsia" w:asciiTheme="minorEastAsia" w:hAnsiTheme="minorEastAsia" w:eastAsiaTheme="minorEastAsia" w:cstheme="minorEastAsia"/>
          <w:sz w:val="28"/>
          <w:szCs w:val="36"/>
          <w:lang w:eastAsia="zh-CN"/>
        </w:rPr>
        <w:t>及售后</w:t>
      </w:r>
      <w:r>
        <w:rPr>
          <w:rFonts w:hint="eastAsia" w:asciiTheme="minorEastAsia" w:hAnsiTheme="minorEastAsia" w:eastAsiaTheme="minorEastAsia" w:cstheme="minorEastAsia"/>
          <w:sz w:val="28"/>
          <w:szCs w:val="36"/>
        </w:rPr>
        <w:t>承诺书</w:t>
      </w:r>
    </w:p>
    <w:p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一：</w:t>
      </w:r>
      <w:r>
        <w:rPr>
          <w:rFonts w:hint="eastAsia" w:asciiTheme="minorEastAsia" w:hAnsiTheme="minorEastAsia" w:eastAsiaTheme="minorEastAsia" w:cstheme="minorEastAsia"/>
        </w:rPr>
        <w:t>及时供货能力: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响应时间2小时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紧急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耗材48</w:t>
      </w:r>
      <w:r>
        <w:rPr>
          <w:rFonts w:hint="eastAsia" w:asciiTheme="minorEastAsia" w:hAnsiTheme="minorEastAsia" w:eastAsiaTheme="minorEastAsia" w:cstheme="minorEastAsia"/>
        </w:rPr>
        <w:t>小时，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一般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耗材</w:t>
      </w:r>
      <w:r>
        <w:rPr>
          <w:rFonts w:hint="eastAsia" w:asciiTheme="minorEastAsia" w:hAnsiTheme="minorEastAsia" w:eastAsiaTheme="minorEastAsia" w:cstheme="minorEastAsia"/>
        </w:rPr>
        <w:t>: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5日内</w:t>
      </w:r>
      <w:r>
        <w:rPr>
          <w:rFonts w:hint="eastAsia" w:asciiTheme="minorEastAsia" w:hAnsiTheme="minorEastAsia" w:eastAsiaTheme="minorEastAsia" w:cstheme="minorEastAsia"/>
        </w:rPr>
        <w:t>，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二：</w:t>
      </w:r>
      <w:r>
        <w:rPr>
          <w:rFonts w:hint="eastAsia" w:asciiTheme="minorEastAsia" w:hAnsiTheme="minorEastAsia" w:eastAsiaTheme="minorEastAsia" w:cstheme="minorEastAsia"/>
        </w:rPr>
        <w:t>承担产品质量责任能力: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及时更换合格产品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及时退货、退款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供货方式:汽车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三、包装:我方提供的设备将严格按照标准包装完好，并承诺完全无损的运抵指定现场。由于包装不善所引起的货物锈蚀、损坏和损失均由我方承担。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四、验收:我方承诺所供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产品开箱</w:t>
      </w:r>
      <w:r>
        <w:rPr>
          <w:rFonts w:hint="eastAsia" w:asciiTheme="minorEastAsia" w:hAnsiTheme="minorEastAsia" w:eastAsiaTheme="minorEastAsia" w:cstheme="minorEastAsia"/>
        </w:rPr>
        <w:t>正常，随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货</w:t>
      </w:r>
      <w:r>
        <w:rPr>
          <w:rFonts w:hint="eastAsia" w:asciiTheme="minorEastAsia" w:hAnsiTheme="minorEastAsia" w:eastAsiaTheme="minorEastAsia" w:cstheme="minorEastAsia"/>
        </w:rPr>
        <w:t>的备品、备件、手册和相关资料齐全。验收过程中如出现问题，我方将严格按照国家"三包"政策执行。</w:t>
      </w:r>
    </w:p>
    <w:p>
      <w:pPr>
        <w:outlineLvl w:val="9"/>
        <w:rPr>
          <w:rFonts w:hint="eastAsia" w:asciiTheme="minorEastAsia" w:hAnsiTheme="minorEastAsia" w:eastAsiaTheme="minorEastAsia" w:cstheme="minorEastAsia"/>
        </w:rPr>
      </w:pPr>
      <w:bookmarkStart w:id="8" w:name="_Toc10282"/>
      <w:bookmarkStart w:id="9" w:name="_Toc3577"/>
      <w:r>
        <w:rPr>
          <w:rFonts w:hint="eastAsia" w:asciiTheme="minorEastAsia" w:hAnsiTheme="minorEastAsia" w:eastAsiaTheme="minorEastAsia" w:cstheme="minorEastAsia"/>
        </w:rPr>
        <w:t>五、针对本项目的服务承诺:</w:t>
      </w:r>
      <w:bookmarkEnd w:id="8"/>
      <w:bookmarkEnd w:id="9"/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1、我方承诺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货物</w:t>
      </w:r>
      <w:r>
        <w:rPr>
          <w:rFonts w:hint="eastAsia" w:asciiTheme="minorEastAsia" w:hAnsiTheme="minorEastAsia" w:eastAsiaTheme="minorEastAsia" w:cstheme="minorEastAsia"/>
        </w:rPr>
        <w:t>免费直接发到用户指定地点，实现"门到门"服务。2、投标产品将全面执行国家有关部门颁布的《商品修理更换退货责任规定》中规定的如下"三包"细则: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1)、七日内出现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质量问题</w:t>
      </w:r>
      <w:r>
        <w:rPr>
          <w:rFonts w:hint="eastAsia" w:asciiTheme="minorEastAsia" w:hAnsiTheme="minorEastAsia" w:eastAsiaTheme="minorEastAsia" w:cstheme="minorEastAsia"/>
        </w:rPr>
        <w:t>免费退货自您购买产品之日起7日内，如果您所购买的产品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出现"国家三包规定"所列性能故障，您可以选择退货、换货或者修理。如您选择退货，我方将按照购买价格一次性退清货款。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3、我方负责对采购单位的操作、维护人员免费进行技术指导和培训，承诺为每个单位培训三至五名"四懂四会"人员。具体见"培训计划"。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5、"一站式"服务:即用户有服务需求时直接拨打:</w:t>
      </w:r>
      <w:r>
        <w:rPr>
          <w:rFonts w:hint="eastAsia" w:asciiTheme="minorEastAsia" w:hAnsiTheme="minorEastAsia" w:eastAsiaTheme="minorEastAsia" w:cstheme="minorEastAsia"/>
          <w:sz w:val="20"/>
          <w:szCs w:val="20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</w:rPr>
        <w:t>，不需要打其他电话，接下来的故障确认、预约上门时间、上门服务、满意度回访等工作均由我方服务体系完成，减少用户"一事多投"的现象。</w:t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6、维修服务期限内，出现属于服务责任范围内的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产品</w:t>
      </w:r>
      <w:r>
        <w:rPr>
          <w:rFonts w:hint="eastAsia" w:asciiTheme="minorEastAsia" w:hAnsiTheme="minorEastAsia" w:eastAsiaTheme="minorEastAsia" w:cstheme="minorEastAsia"/>
        </w:rPr>
        <w:t>故障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问题2</w:t>
      </w:r>
      <w:r>
        <w:rPr>
          <w:rFonts w:hint="eastAsia" w:asciiTheme="minorEastAsia" w:hAnsiTheme="minorEastAsia" w:eastAsiaTheme="minorEastAsia" w:cstheme="minorEastAsia"/>
        </w:rPr>
        <w:t>小时电话响应，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4小时</w:t>
      </w:r>
      <w:r>
        <w:rPr>
          <w:rFonts w:hint="eastAsia" w:asciiTheme="minorEastAsia" w:hAnsiTheme="minorEastAsia" w:eastAsiaTheme="minorEastAsia" w:cstheme="minorEastAsia"/>
        </w:rPr>
        <w:t>内到达现场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7、24小时内修复故障在产品服务期限内，如果产品出现属于服务责任范围内的故障，授权服务机构将自您报修时起 24小时内修复故障，如果超出24小时，将提供备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用品</w:t>
      </w:r>
    </w:p>
    <w:p>
      <w:pPr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8、7天x8小时工作制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正常营业时间是;每周一至周日，每天8小时，假日照常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</w:rPr>
        <w:t>、特别提示为保证您的数据安全，请您及时对您认为重要的数据自行备份。我方不负责提供数据备份及恢复服务，也不承担相应的法律责任。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</w:rPr>
        <w:t>、用户回访计划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为防止服务承诺流于形式，我方提供电话回访和上门回访相结合的方式，定期对操作或维护人员进行主动问候，并协调解决用户反馈的的问题，确保每月一次电话回访，每季度一次上门回访，并将每次回访结果记录在回访卡上，双方各留一份存档。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15、投诉电话</w:t>
      </w:r>
    </w:p>
    <w:p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投诉电话:</w:t>
      </w:r>
      <w:r>
        <w:rPr>
          <w:rFonts w:hint="eastAsia" w:asciiTheme="minorEastAsia" w:hAnsiTheme="minorEastAsia" w:eastAsiaTheme="minorEastAsia" w:cstheme="minorEastAsia"/>
          <w:sz w:val="20"/>
          <w:szCs w:val="20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</w:rPr>
        <w:t>联系人:</w:t>
      </w:r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      </w:t>
      </w:r>
      <w:bookmarkStart w:id="10" w:name="_GoBack"/>
      <w:bookmarkEnd w:id="10"/>
      <w:r>
        <w:rPr>
          <w:rFonts w:hint="eastAsia" w:asciiTheme="minorEastAsia" w:hAnsiTheme="minorEastAsia" w:eastAsiaTheme="minorEastAsia" w:cstheme="minorEastAsia"/>
          <w:u w:val="single"/>
          <w:lang w:val="en-US" w:eastAsia="zh-CN"/>
        </w:rPr>
        <w:t xml:space="preserve"> </w:t>
      </w: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16、我方承诺为用户提供终生技术支持服务。</w:t>
      </w:r>
    </w:p>
    <w:p/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153370"/>
    <w:multiLevelType w:val="singleLevel"/>
    <w:tmpl w:val="4115337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3NzU3YTBjNWYxZjRkMTQ3MDU4Y2JkODhhYzI0NjQifQ=="/>
  </w:docVars>
  <w:rsids>
    <w:rsidRoot w:val="56302FDA"/>
    <w:rsid w:val="23856660"/>
    <w:rsid w:val="330B0EF3"/>
    <w:rsid w:val="45461860"/>
    <w:rsid w:val="54E35038"/>
    <w:rsid w:val="56302FDA"/>
    <w:rsid w:val="669D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null3"/>
    <w:hidden/>
    <w:qFormat/>
    <w:uiPriority w:val="0"/>
    <w:rPr>
      <w:rFonts w:hint="eastAsia" w:asciiTheme="minorHAnsi" w:hAnsiTheme="minorHAnsi" w:eastAsiaTheme="minorEastAsia" w:cstheme="minorBidi"/>
      <w:lang w:val="en-US" w:eastAsia="zh-Hans"/>
    </w:r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2023-11-19T10:07:00Z</dcterms:created>
  <dc:creator>Administrator</dc:creator>
  <cp:lastModifiedBy>Administrator</cp:lastModifiedBy>
  <cp:lastPrinted>2023-11-20T02:52:00Z</cp:lastPrinted>
  <dcterms:modified xsi:type="dcterms:W3CDTF">2023-11-20T03:15:54Z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EEE418C1F0544193BB57B249474D6DD5_11</vt:lpwstr>
  </property>
</Properties>
</file>