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rPr>
          <w:rFonts w:hint="eastAsia" w:ascii="黑体" w:hAnsi="黑体" w:eastAsia="黑体" w:cs="黑体"/>
          <w:sz w:val="32"/>
          <w:szCs w:val="32"/>
        </w:rPr>
      </w:pPr>
      <w:bookmarkStart w:id="0" w:name="_Hlk14993846"/>
      <w:r>
        <w:rPr>
          <w:rFonts w:hint="eastAsia" w:ascii="黑体" w:hAnsi="黑体" w:eastAsia="黑体" w:cs="黑体"/>
          <w:sz w:val="32"/>
          <w:szCs w:val="32"/>
        </w:rPr>
        <w:t>附件1</w:t>
      </w:r>
    </w:p>
    <w:p>
      <w:pPr>
        <w:spacing w:line="600" w:lineRule="exact"/>
        <w:jc w:val="center"/>
        <w:rPr>
          <w:rFonts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《八条措施</w:t>
      </w:r>
      <w:r>
        <w:rPr>
          <w:rFonts w:hint="eastAsia" w:ascii="方正小标宋简体" w:hAnsi="方正小标宋简体" w:eastAsia="PMingLiU" w:cs="方正小标宋简体"/>
          <w:sz w:val="44"/>
          <w:szCs w:val="44"/>
        </w:rPr>
        <w:t>》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申报材料清单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1"/>
        <w:gridCol w:w="6445"/>
        <w:gridCol w:w="4284"/>
        <w:gridCol w:w="35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" w:hRule="atLeast"/>
          <w:tblHeader/>
          <w:jc w:val="center"/>
        </w:trPr>
        <w:tc>
          <w:tcPr>
            <w:tcW w:w="57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序号</w:t>
            </w:r>
          </w:p>
        </w:tc>
        <w:tc>
          <w:tcPr>
            <w:tcW w:w="64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措施</w:t>
            </w:r>
          </w:p>
        </w:tc>
        <w:tc>
          <w:tcPr>
            <w:tcW w:w="42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申报奖励相关材料</w:t>
            </w:r>
          </w:p>
        </w:tc>
        <w:tc>
          <w:tcPr>
            <w:tcW w:w="35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884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left="0" w:leftChars="0" w:right="0" w:rightChars="0"/>
              <w:jc w:val="center"/>
              <w:textAlignment w:val="auto"/>
              <w:outlineLvl w:val="9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《关于支持涉旅企业应对疫情共渡难关八条措施》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0" w:hRule="atLeast"/>
          <w:jc w:val="center"/>
        </w:trPr>
        <w:tc>
          <w:tcPr>
            <w:tcW w:w="57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center"/>
              <w:textAlignment w:val="auto"/>
              <w:outlineLvl w:val="9"/>
              <w:rPr>
                <w:rFonts w:ascii="FangSong_GB2312" w:hAnsi="FangSong_GB2312" w:eastAsia="FangSong_GB2312" w:cs="FangSong_GB2312"/>
                <w:sz w:val="24"/>
                <w:szCs w:val="24"/>
              </w:rPr>
            </w:pPr>
            <w:r>
              <w:rPr>
                <w:rFonts w:hint="eastAsia" w:ascii="FangSong_GB2312" w:hAnsi="FangSong_GB2312" w:eastAsia="FangSong_GB2312" w:cs="FangSong_GB2312"/>
                <w:sz w:val="24"/>
                <w:szCs w:val="24"/>
              </w:rPr>
              <w:t>1</w:t>
            </w:r>
          </w:p>
        </w:tc>
        <w:tc>
          <w:tcPr>
            <w:tcW w:w="6445" w:type="dxa"/>
            <w:noWrap w:val="0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 w:firstLine="480" w:firstLineChars="200"/>
              <w:jc w:val="both"/>
              <w:textAlignment w:val="auto"/>
              <w:outlineLvl w:val="9"/>
              <w:rPr>
                <w:rFonts w:ascii="FangSong_GB2312" w:hAnsi="FangSong_GB2312" w:eastAsia="FangSong_GB2312" w:cs="FangSong_GB2312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缓缴相关运营费用。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涉旅企业生产经营所需的用水、用气、网络及有线电视费用，自本通知印</w:t>
            </w:r>
            <w:bookmarkStart w:id="1" w:name="_GoBack"/>
            <w:bookmarkEnd w:id="1"/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发之日起可缓缴3个月费用，缓缴期不超过2020年6月30日，缓缴期间实行“欠费不停供”措施，并免收滞纳金。6月30日后仍未缴清相关费用的，按各行业相关规定执行。电费缴纳方面，涉旅企业生产经营场所在2020年1月至2月期间产生欠费的，在2月29日前完成交费，免收电费违约金。用电业务办理方面，在疫情防控期间，放宽减容（暂停）期限，自2020年2月7日起，申请暂停、减容、暂停恢复、减容恢复，不受“暂停用电不得小于15天”限制，按实际暂停天数免收基本电费，且实行“当日受理、次日办结”“先办理、后补材料”；对临时隔离点的办电需求，开辟绿色通道，实施零上门、零审批、零投资的“三零”服务。</w:t>
            </w:r>
          </w:p>
        </w:tc>
        <w:tc>
          <w:tcPr>
            <w:tcW w:w="42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ascii="FangSong_GB2312" w:hAnsi="FangSong_GB2312" w:eastAsia="PMingLiU" w:cs="FangSong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按需向相关国有企业提出申请。</w:t>
            </w:r>
          </w:p>
        </w:tc>
        <w:tc>
          <w:tcPr>
            <w:tcW w:w="35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ascii="FangSong_GB2312" w:hAnsi="FangSong_GB2312" w:eastAsia="FangSong_GB2312" w:cs="FangSong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7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center"/>
              <w:textAlignment w:val="auto"/>
              <w:outlineLvl w:val="9"/>
              <w:rPr>
                <w:rFonts w:ascii="FangSong_GB2312" w:hAnsi="FangSong_GB2312" w:eastAsia="FangSong_GB2312" w:cs="FangSong_GB2312"/>
                <w:sz w:val="24"/>
                <w:szCs w:val="24"/>
              </w:rPr>
            </w:pPr>
            <w:r>
              <w:rPr>
                <w:rFonts w:hint="eastAsia" w:ascii="FangSong_GB2312" w:hAnsi="FangSong_GB2312" w:eastAsia="FangSong_GB2312" w:cs="FangSong_GB2312"/>
                <w:sz w:val="24"/>
                <w:szCs w:val="24"/>
              </w:rPr>
              <w:t>2</w:t>
            </w:r>
          </w:p>
        </w:tc>
        <w:tc>
          <w:tcPr>
            <w:tcW w:w="6445" w:type="dxa"/>
            <w:noWrap w:val="0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 w:firstLine="480" w:firstLineChars="200"/>
              <w:jc w:val="both"/>
              <w:textAlignment w:val="auto"/>
              <w:outlineLvl w:val="9"/>
              <w:rPr>
                <w:rFonts w:ascii="FangSong_GB2312" w:hAnsi="FangSong_GB2312" w:eastAsia="FangSong_GB2312" w:cs="FangSong_GB2312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暂退旅行社质保金。</w:t>
            </w: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对全区所有已依法缴纳保证金、领取旅行社业务经营许可证的旅行社予以暂退旅行社质保金，暂退标准为现有缴纳数额的80%。接收暂退保证金的旅行社应在2022年2月5日前将本次暂退的保证金如数缴还。</w:t>
            </w:r>
          </w:p>
        </w:tc>
        <w:tc>
          <w:tcPr>
            <w:tcW w:w="42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材料一式1份并加盖申请单位公章：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1.申请报告书；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2.保证金银行账户对账单；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3.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TW"/>
              </w:rPr>
              <w:t>承诺书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ascii="FangSong_GB2312" w:hAnsi="FangSong_GB2312" w:eastAsia="FangSong_GB2312" w:cs="FangSong_GB2312"/>
                <w:sz w:val="24"/>
                <w:szCs w:val="24"/>
              </w:rPr>
            </w:pPr>
          </w:p>
        </w:tc>
        <w:tc>
          <w:tcPr>
            <w:tcW w:w="35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ascii="FangSong_GB2312" w:hAnsi="FangSong_GB2312" w:eastAsia="FangSong_GB2312" w:cs="Times New Roman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兑现由平潭综合实验区旅游与文化体育局负责，按《 平潭综合实验区关于支持旅行社应对经营困难暂退部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分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旅游服务质量保证金的通知》（岚旅文体〔20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20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〕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20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号）的相关要求，遵照执行。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0" w:hRule="atLeast"/>
          <w:jc w:val="center"/>
        </w:trPr>
        <w:tc>
          <w:tcPr>
            <w:tcW w:w="57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center"/>
              <w:textAlignment w:val="auto"/>
              <w:outlineLvl w:val="9"/>
              <w:rPr>
                <w:rFonts w:ascii="FangSong_GB2312" w:hAnsi="FangSong_GB2312" w:eastAsia="FangSong_GB2312" w:cs="FangSong_GB2312"/>
                <w:sz w:val="24"/>
                <w:szCs w:val="24"/>
              </w:rPr>
            </w:pPr>
            <w:r>
              <w:rPr>
                <w:rFonts w:hint="eastAsia" w:ascii="FangSong_GB2312" w:hAnsi="FangSong_GB2312" w:eastAsia="FangSong_GB2312" w:cs="FangSong_GB2312"/>
                <w:sz w:val="24"/>
                <w:szCs w:val="24"/>
              </w:rPr>
              <w:t>3</w:t>
            </w:r>
          </w:p>
        </w:tc>
        <w:tc>
          <w:tcPr>
            <w:tcW w:w="6445" w:type="dxa"/>
            <w:noWrap w:val="0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 w:firstLine="480" w:firstLineChars="200"/>
              <w:jc w:val="both"/>
              <w:textAlignment w:val="auto"/>
              <w:outlineLvl w:val="9"/>
              <w:rPr>
                <w:rFonts w:ascii="FangSong_GB2312" w:hAnsi="FangSong_GB2312" w:eastAsia="FangSong_GB2312" w:cs="FangSong_GB2312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提高组织游客来岚旅游补助标准。</w:t>
            </w: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对符合《平潭综合实验区关于奖励扶持旅游业发展的十条措施》(岚综管综〔2019〕84号)第18条规定组织游客来岚旅游的，2020年度的奖补金额按原标准的1.5 倍给予兑现。同时放宽奖补条件，即：当年度游客总量限定条件下调至1000人及以上。</w:t>
            </w:r>
          </w:p>
        </w:tc>
        <w:tc>
          <w:tcPr>
            <w:tcW w:w="42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材料1一式四份，其余材料一式两份并加盖申请单位公章：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1.《平潭综合实验区奖补审批表》一式四份；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2.《旅行社年度接待过夜游客奖励审核清单》；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3.景区团队人数统计表；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ascii="FangSong_GB2312" w:hAnsi="FangSong_GB2312" w:eastAsia="FangSong_GB2312" w:cs="FangSong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4.团队台账复印件（加盖公章，原件旅行社存档备查）,包括：游客名单，委托接待确认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TW"/>
              </w:rPr>
              <w:t>合同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（自组自接团组需提供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zh-TW"/>
              </w:rPr>
              <w:t>全国统一旅游电子合同编号清单表备查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）、有效电子派团单（行程单）、与电子派团单对应的景区结算汇总单、景区票据和酒店住宿清单及结算发票，境外游客身份有效证明如护照（通行证）复印件等。</w:t>
            </w:r>
          </w:p>
        </w:tc>
        <w:tc>
          <w:tcPr>
            <w:tcW w:w="35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ascii="FangSong_GB2312" w:hAnsi="FangSong_GB2312" w:eastAsia="FangSong_GB2312" w:cs="FangSong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4" w:hRule="atLeast"/>
          <w:jc w:val="center"/>
        </w:trPr>
        <w:tc>
          <w:tcPr>
            <w:tcW w:w="57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center"/>
              <w:textAlignment w:val="auto"/>
              <w:outlineLvl w:val="9"/>
              <w:rPr>
                <w:rFonts w:ascii="FangSong_GB2312" w:hAnsi="FangSong_GB2312" w:eastAsia="FangSong_GB2312" w:cs="FangSong_GB2312"/>
                <w:sz w:val="24"/>
                <w:szCs w:val="24"/>
              </w:rPr>
            </w:pPr>
            <w:r>
              <w:rPr>
                <w:rFonts w:hint="eastAsia" w:ascii="FangSong_GB2312" w:hAnsi="FangSong_GB2312" w:eastAsia="FangSong_GB2312" w:cs="FangSong_GB2312"/>
                <w:sz w:val="24"/>
                <w:szCs w:val="24"/>
              </w:rPr>
              <w:t>4</w:t>
            </w:r>
          </w:p>
        </w:tc>
        <w:tc>
          <w:tcPr>
            <w:tcW w:w="6445" w:type="dxa"/>
            <w:noWrap w:val="0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 w:firstLine="480" w:firstLineChars="200"/>
              <w:jc w:val="both"/>
              <w:textAlignment w:val="auto"/>
              <w:outlineLvl w:val="9"/>
              <w:rPr>
                <w:rFonts w:ascii="FangSong_GB2312" w:hAnsi="FangSong_GB2312" w:eastAsia="FangSong_GB2312" w:cs="FangSong_GB2312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缩短奖励兑现周期。</w:t>
            </w: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涉及《平潭综合实验区关于奖励扶持旅游业发展的十条措施》第18条组织游客来岚旅游、第22条鼓励导游在岚执业、第26条鼓励组织区外游客经平潭口岸入境旅游及第29条岚台航线因故停航补助，在达到相应奖励扶持条件后，可由每年申报兑现一次改为每季度申报兑现一次（每季度第一个月申报前一季度）。</w:t>
            </w:r>
          </w:p>
        </w:tc>
        <w:tc>
          <w:tcPr>
            <w:tcW w:w="42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ascii="FangSong_GB2312" w:hAnsi="FangSong_GB2312" w:eastAsia="FangSong_GB2312" w:cs="Times New Roman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相关申报材料详见《 平潭综合实验区关于旅游产业扶持相关政策的实施细则通知》（岚综实旅发〔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2019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〕109号）。</w:t>
            </w:r>
          </w:p>
        </w:tc>
        <w:tc>
          <w:tcPr>
            <w:tcW w:w="35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ascii="FangSong_GB2312" w:hAnsi="FangSong_GB2312" w:eastAsia="FangSong_GB2312" w:cs="Times New Roman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季度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TW"/>
              </w:rPr>
              <w:t>申报月份为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1月，4月，7月，10月。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2" w:hRule="atLeast"/>
          <w:jc w:val="center"/>
        </w:trPr>
        <w:tc>
          <w:tcPr>
            <w:tcW w:w="57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center"/>
              <w:textAlignment w:val="auto"/>
              <w:outlineLvl w:val="9"/>
              <w:rPr>
                <w:rFonts w:ascii="FangSong_GB2312" w:hAnsi="FangSong_GB2312" w:eastAsia="FangSong_GB2312" w:cs="FangSong_GB2312"/>
                <w:sz w:val="24"/>
                <w:szCs w:val="24"/>
              </w:rPr>
            </w:pPr>
            <w:r>
              <w:rPr>
                <w:rFonts w:hint="eastAsia" w:ascii="FangSong_GB2312" w:hAnsi="FangSong_GB2312" w:eastAsia="FangSong_GB2312" w:cs="FangSong_GB2312"/>
                <w:sz w:val="24"/>
                <w:szCs w:val="24"/>
              </w:rPr>
              <w:t>5</w:t>
            </w:r>
          </w:p>
        </w:tc>
        <w:tc>
          <w:tcPr>
            <w:tcW w:w="6445" w:type="dxa"/>
            <w:noWrap w:val="0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 w:firstLine="480" w:firstLineChars="200"/>
              <w:jc w:val="both"/>
              <w:textAlignment w:val="auto"/>
              <w:outlineLvl w:val="9"/>
              <w:rPr>
                <w:rFonts w:ascii="FangSong_GB2312" w:hAnsi="FangSong_GB2312" w:eastAsia="FangSong_GB2312" w:cs="FangSong_GB2312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给予重点景区扶持。</w:t>
            </w: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对已获评的A级景区，在享受《平潭综合实验区关于奖励扶持旅游业发展的十条措施》第8条景区改造提升补助的基础上，按4A级、3A级分别再给予2020年度一次性帮扶补助100万元、50万元，专项用于景区提升改造。</w:t>
            </w:r>
          </w:p>
        </w:tc>
        <w:tc>
          <w:tcPr>
            <w:tcW w:w="42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材料1一式四份，其余材料一式两份并加盖申请单位公章：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1.《平潭综合实验区奖补审批表》；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2.营业执照、税务登记证（或商事登记证）及法人代表人身份证复印件；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3.评定机构或授权组织评级的相关文件或相关证书。</w:t>
            </w:r>
          </w:p>
        </w:tc>
        <w:tc>
          <w:tcPr>
            <w:tcW w:w="35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ascii="FangSong_GB2312" w:hAnsi="FangSong_GB2312" w:eastAsia="FangSong_GB2312" w:cs="FangSong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3" w:hRule="atLeast"/>
          <w:jc w:val="center"/>
        </w:trPr>
        <w:tc>
          <w:tcPr>
            <w:tcW w:w="57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center"/>
              <w:textAlignment w:val="auto"/>
              <w:outlineLvl w:val="9"/>
              <w:rPr>
                <w:rFonts w:ascii="FangSong_GB2312" w:hAnsi="FangSong_GB2312" w:eastAsia="FangSong_GB2312" w:cs="FangSong_GB2312"/>
                <w:sz w:val="24"/>
                <w:szCs w:val="24"/>
              </w:rPr>
            </w:pPr>
            <w:r>
              <w:rPr>
                <w:rFonts w:hint="eastAsia" w:ascii="FangSong_GB2312" w:hAnsi="FangSong_GB2312" w:eastAsia="FangSong_GB2312" w:cs="FangSong_GB2312"/>
                <w:sz w:val="24"/>
                <w:szCs w:val="24"/>
              </w:rPr>
              <w:t>6</w:t>
            </w:r>
          </w:p>
        </w:tc>
        <w:tc>
          <w:tcPr>
            <w:tcW w:w="6445" w:type="dxa"/>
            <w:noWrap w:val="0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 w:firstLine="480" w:firstLineChars="200"/>
              <w:jc w:val="both"/>
              <w:textAlignment w:val="auto"/>
              <w:outlineLvl w:val="9"/>
              <w:rPr>
                <w:rFonts w:ascii="FangSong_GB2312" w:hAnsi="FangSong_GB2312" w:eastAsia="FangSong_GB2312" w:cs="FangSong_GB2312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扶持旅行社分社业务发展。</w:t>
            </w: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符合《平潭综合实验区关于奖励扶持旅游业发展的十条措施》第17条并于2019年度已开设的旅行社分社及营业网点，当年度的奖励金额按原标准的1.5 倍给予兑现。</w:t>
            </w:r>
          </w:p>
        </w:tc>
        <w:tc>
          <w:tcPr>
            <w:tcW w:w="42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材料1一式四份，其余材料一式两份并加盖申请单位公章：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1.《平潭综合实验区奖补审批表》；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2.质保金缴存情况证明（缴存银行盖章）；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3.分社（包含营业网点）营业执照复印件；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4.店面实际照片两张；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5.分社或网点营运情况说明报告；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ascii="FangSong_GB2312" w:hAnsi="FangSong_GB2312" w:eastAsia="FangSong_GB2312" w:cs="FangSong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6.第三方审计机构出具的主营收入报表。</w:t>
            </w:r>
          </w:p>
        </w:tc>
        <w:tc>
          <w:tcPr>
            <w:tcW w:w="35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ascii="FangSong_GB2312" w:hAnsi="FangSong_GB2312" w:eastAsia="FangSong_GB2312" w:cs="FangSong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2" w:hRule="atLeast"/>
          <w:jc w:val="center"/>
        </w:trPr>
        <w:tc>
          <w:tcPr>
            <w:tcW w:w="57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center"/>
              <w:textAlignment w:val="auto"/>
              <w:outlineLvl w:val="9"/>
              <w:rPr>
                <w:rFonts w:ascii="FangSong_GB2312" w:hAnsi="FangSong_GB2312" w:eastAsia="FangSong_GB2312" w:cs="FangSong_GB2312"/>
                <w:sz w:val="24"/>
                <w:szCs w:val="24"/>
              </w:rPr>
            </w:pPr>
            <w:r>
              <w:rPr>
                <w:rFonts w:hint="eastAsia" w:ascii="FangSong_GB2312" w:hAnsi="FangSong_GB2312" w:eastAsia="FangSong_GB2312" w:cs="FangSong_GB2312"/>
                <w:sz w:val="24"/>
                <w:szCs w:val="24"/>
              </w:rPr>
              <w:t>7</w:t>
            </w:r>
          </w:p>
        </w:tc>
        <w:tc>
          <w:tcPr>
            <w:tcW w:w="6445" w:type="dxa"/>
            <w:noWrap w:val="0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 w:firstLine="480" w:firstLineChars="200"/>
              <w:jc w:val="both"/>
              <w:textAlignment w:val="auto"/>
              <w:outlineLvl w:val="9"/>
              <w:rPr>
                <w:rFonts w:ascii="FangSong_GB2312" w:hAnsi="FangSong_GB2312" w:eastAsia="FangSong_GB2312" w:cs="FangSong_GB2312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支持开展旅游业务培训。</w:t>
            </w: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采取政府购买服务方式，由区旅游文体局负责，依托区旅游行业协会开展线上提升培训活动，构建旅游行业网上培训平台，提升旅游从业人员水平。</w:t>
            </w:r>
          </w:p>
        </w:tc>
        <w:tc>
          <w:tcPr>
            <w:tcW w:w="42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ascii="FangSong_GB2312" w:hAnsi="FangSong_GB2312" w:eastAsia="PMingLiU" w:cs="FangSong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由区旅游行业协会负责安排，组织涉旅企业及从业人员参加培训活动。</w:t>
            </w:r>
          </w:p>
        </w:tc>
        <w:tc>
          <w:tcPr>
            <w:tcW w:w="35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ascii="FangSong_GB2312" w:hAnsi="FangSong_GB2312" w:eastAsia="FangSong_GB2312" w:cs="FangSong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4" w:hRule="atLeast"/>
          <w:jc w:val="center"/>
        </w:trPr>
        <w:tc>
          <w:tcPr>
            <w:tcW w:w="571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center"/>
              <w:textAlignment w:val="auto"/>
              <w:outlineLvl w:val="9"/>
              <w:rPr>
                <w:rFonts w:ascii="FangSong_GB2312" w:hAnsi="FangSong_GB2312" w:eastAsia="FangSong_GB2312" w:cs="FangSong_GB2312"/>
                <w:sz w:val="24"/>
                <w:szCs w:val="24"/>
              </w:rPr>
            </w:pPr>
            <w:r>
              <w:rPr>
                <w:rFonts w:hint="eastAsia" w:ascii="FangSong_GB2312" w:hAnsi="FangSong_GB2312" w:eastAsia="FangSong_GB2312" w:cs="FangSong_GB2312"/>
                <w:sz w:val="24"/>
                <w:szCs w:val="24"/>
              </w:rPr>
              <w:t>8</w:t>
            </w:r>
          </w:p>
        </w:tc>
        <w:tc>
          <w:tcPr>
            <w:tcW w:w="6445" w:type="dxa"/>
            <w:noWrap w:val="0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both"/>
              <w:textAlignment w:val="auto"/>
              <w:outlineLvl w:val="9"/>
              <w:rPr>
                <w:rFonts w:ascii="FangSong_GB2312" w:hAnsi="FangSong_GB2312" w:eastAsia="FangSong_GB2312" w:cs="FangSong_GB2312"/>
                <w:b/>
                <w:bCs/>
                <w:sz w:val="24"/>
                <w:szCs w:val="24"/>
              </w:rPr>
            </w:pPr>
            <w:r>
              <w:rPr>
                <w:rFonts w:hint="eastAsia" w:ascii="FangSong_GB2312" w:hAnsi="FangSong_GB2312" w:eastAsia="PMingLiU" w:cs="FangSong_GB2312"/>
                <w:b/>
                <w:bCs/>
                <w:sz w:val="24"/>
                <w:szCs w:val="24"/>
              </w:rPr>
              <w:t xml:space="preserve">   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</w:rPr>
              <w:t xml:space="preserve"> 支持岚台特色旅游业态发展。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 w:firstLine="480" w:firstLineChars="200"/>
              <w:jc w:val="both"/>
              <w:textAlignment w:val="auto"/>
              <w:outlineLvl w:val="9"/>
              <w:rPr>
                <w:rFonts w:ascii="FangSong_GB2312" w:hAnsi="FangSong_GB2312" w:eastAsia="FangSong_GB2312" w:cs="FangSong_GB2312"/>
                <w:sz w:val="24"/>
                <w:szCs w:val="24"/>
              </w:rPr>
            </w:pPr>
            <w:r>
              <w:rPr>
                <w:rFonts w:hint="eastAsia" w:ascii="FangSong_GB2312" w:hAnsi="FangSong_GB2312" w:eastAsia="PMingLiU" w:cs="FangSong_GB2312"/>
                <w:b/>
                <w:bCs/>
                <w:sz w:val="24"/>
                <w:szCs w:val="24"/>
              </w:rPr>
              <w:t>1.</w:t>
            </w:r>
            <w:r>
              <w:rPr>
                <w:rFonts w:hint="eastAsia" w:ascii="FangSong_GB2312" w:hAnsi="FangSong_GB2312" w:eastAsia="FangSong_GB2312" w:cs="FangSong_GB2312"/>
                <w:b/>
                <w:bCs/>
                <w:sz w:val="24"/>
                <w:szCs w:val="24"/>
              </w:rPr>
              <w:t>支持民宿产业发展。</w:t>
            </w: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对2020年前已通过备案的民宿及2020年度新通过备案的民宿，按单个民宿建筑面积100㎡（含）～400㎡和400㎡（不含）～800㎡（含）两个档次，分别给予一次性2万元、3万元的奖励。其中，经营者为台资企业或台湾居民的，在享受《平潭综合实验区关于奖励扶持旅游业发展的十条措施》第27条台湾团队经营民宿旅游项目奖励的基础上，按单个民宿建筑面积100㎡（含）～400㎡和400㎡（不含）～800㎡（含）两个档次，再分别给予一次性4万元、6万元的奖励。</w:t>
            </w:r>
          </w:p>
        </w:tc>
        <w:tc>
          <w:tcPr>
            <w:tcW w:w="42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材料1一式四份，其余材料一式两份：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1.《平潭综合实验区奖补审批表》；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2.营业执照、税务登记证（或商事登记证）及法人代表人身份证复印件（若为个体工商户仅需要提供营业执照复印件，原件备查）；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3.民宿申请材料（备案表格）复印件。</w:t>
            </w:r>
          </w:p>
        </w:tc>
        <w:tc>
          <w:tcPr>
            <w:tcW w:w="35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71" w:type="dxa"/>
            <w:vMerge w:val="continue"/>
            <w:noWrap w:val="0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 w:firstLine="480" w:firstLineChars="200"/>
              <w:jc w:val="both"/>
              <w:textAlignment w:val="auto"/>
              <w:outlineLvl w:val="9"/>
              <w:rPr>
                <w:sz w:val="24"/>
                <w:szCs w:val="24"/>
              </w:rPr>
            </w:pPr>
          </w:p>
        </w:tc>
        <w:tc>
          <w:tcPr>
            <w:tcW w:w="6445" w:type="dxa"/>
            <w:noWrap w:val="0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 w:firstLine="482" w:firstLineChars="200"/>
              <w:jc w:val="both"/>
              <w:textAlignment w:val="auto"/>
              <w:outlineLvl w:val="9"/>
              <w:rPr>
                <w:rFonts w:ascii="FangSong_GB2312" w:hAnsi="FangSong_GB2312" w:eastAsia="FangSong_GB2312" w:cs="FangSong_GB2312"/>
                <w:sz w:val="24"/>
                <w:szCs w:val="24"/>
              </w:rPr>
            </w:pPr>
            <w:r>
              <w:rPr>
                <w:rFonts w:hint="eastAsia" w:ascii="FangSong_GB2312" w:hAnsi="FangSong_GB2312" w:eastAsia="FangSong_GB2312" w:cs="FangSong_GB2312"/>
                <w:b/>
                <w:bCs/>
                <w:sz w:val="24"/>
                <w:szCs w:val="24"/>
              </w:rPr>
              <w:t>2.鼓励开展两岸交流营销推广活动</w:t>
            </w:r>
            <w:r>
              <w:rPr>
                <w:rFonts w:hint="eastAsia" w:ascii="FangSong_GB2312" w:hAnsi="FangSong_GB2312" w:eastAsia="FangSong_GB2312" w:cs="FangSong_GB2312"/>
                <w:sz w:val="24"/>
                <w:szCs w:val="24"/>
              </w:rPr>
              <w:t>。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符合《平潭综合实验区关于奖励扶持旅游业发展的十条措施》第13条的旅游节庆、旅游推介、赛事活动，且具有两岸交流元素的，2020年度的补助金额按原标准的1.5 倍给予兑现。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TW"/>
              </w:rPr>
              <w:t>活动需提前向旅游文体局备案。</w:t>
            </w:r>
          </w:p>
        </w:tc>
        <w:tc>
          <w:tcPr>
            <w:tcW w:w="42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材料1一式四份、其余一式两份，并加盖申请单位公章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1.《平潭综合实验区奖补审批表》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w w:val="95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2.30家及以上媒体报道清单及相应截图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3.营业执照复印件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4.活动费用清单及清单所列相关项目的合同、票据复印件（需体现项目花费与申报活动有关）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5.活动方案及安保、应急预案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6.活动结案报告及《第三方效果评估报告》</w:t>
            </w:r>
          </w:p>
        </w:tc>
        <w:tc>
          <w:tcPr>
            <w:tcW w:w="35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  <w:t>1.不含使用政府财政性资金举办的活动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  <w:t>2.“两岸交流元素”即同时满足：（1）在活动的内涵上需包含陆台在旅游、文化、体育、民俗、艺术等某一相关领域的交流合作；（2）在活动的参加人员或邀约嘉宾上需包括台湾籍人员，并在活动前向相关部门备案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TW"/>
              </w:rPr>
              <w:t>3.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  <w:t>营销活动需提前向旅游与文体育局备案，备案联系方式为: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TW"/>
              </w:rPr>
              <w:t>0591-23108560,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  <w:t>0591-24336542。</w:t>
            </w:r>
          </w:p>
        </w:tc>
      </w:tr>
      <w:bookmarkEnd w:id="0"/>
    </w:tbl>
    <w:p/>
    <w:sectPr>
      <w:pgSz w:w="16838" w:h="11906" w:orient="landscape"/>
      <w:pgMar w:top="1684" w:right="2098" w:bottom="1276" w:left="198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FangSong_GB2312">
    <w:altName w:val="仿宋_GB2312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B454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index 6"/>
    <w:next w:val="1"/>
    <w:uiPriority w:val="0"/>
    <w:pPr>
      <w:widowControl w:val="0"/>
      <w:ind w:left="21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table" w:styleId="4">
    <w:name w:val="Table Grid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列出段落11"/>
    <w:next w:val="2"/>
    <w:qFormat/>
    <w:uiPriority w:val="0"/>
    <w:pPr>
      <w:widowControl w:val="0"/>
      <w:spacing w:before="100" w:beforeAutospacing="1" w:after="100" w:afterAutospacing="1"/>
      <w:ind w:left="200" w:leftChars="200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J&amp;L Lane</cp:lastModifiedBy>
  <dcterms:modified xsi:type="dcterms:W3CDTF">2020-03-10T10:40:18Z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