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djustRightInd w:val="0"/>
        <w:snapToGrid w:val="0"/>
        <w:spacing w:line="600" w:lineRule="exact"/>
        <w:jc w:val="center"/>
        <w:rPr>
          <w:rFonts w:hint="eastAsia" w:ascii="方正小标宋简体" w:hAnsi="方正小标宋简体" w:eastAsia="方正小标宋简体" w:cs="方正小标宋简体"/>
          <w:kern w:val="0"/>
          <w:sz w:val="44"/>
          <w:szCs w:val="44"/>
        </w:rPr>
      </w:pPr>
      <w:bookmarkStart w:id="0" w:name="_GoBack"/>
      <w:r>
        <w:rPr>
          <w:rFonts w:hint="eastAsia" w:ascii="方正小标宋简体" w:hAnsi="方正小标宋简体" w:eastAsia="方正小标宋简体" w:cs="方正小标宋简体"/>
          <w:kern w:val="0"/>
          <w:sz w:val="44"/>
          <w:szCs w:val="44"/>
        </w:rPr>
        <w:t>2020年度平潭综合实验区危险废物</w:t>
      </w:r>
    </w:p>
    <w:p>
      <w:pPr>
        <w:widowControl/>
        <w:adjustRightInd w:val="0"/>
        <w:snapToGrid w:val="0"/>
        <w:spacing w:line="600" w:lineRule="exact"/>
        <w:jc w:val="center"/>
        <w:rPr>
          <w:rFonts w:hint="eastAsia"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rPr>
        <w:t>规范化管理工作方案</w:t>
      </w:r>
    </w:p>
    <w:bookmarkEnd w:id="0"/>
    <w:p>
      <w:pPr>
        <w:spacing w:line="540" w:lineRule="exact"/>
        <w:rPr>
          <w:rFonts w:hint="eastAsia" w:ascii="方正小标宋简体" w:hAnsi="宋体" w:eastAsia="方正小标宋简体" w:cs="方正小标宋简体"/>
          <w:color w:val="000000"/>
          <w:sz w:val="44"/>
          <w:szCs w:val="44"/>
          <w:lang w:bidi="ar"/>
        </w:rPr>
      </w:pP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为贯彻落实《关于提升危险废物环境监管能力、利用处置能力和环境风险防范能力的指导意见》（环固体〔2019〕92号）、《危险废物规范化管理指标体系》（环办〔2015〕99号）、《福建省生态环境厅关于印发2020年度福建省危险废物规范化管理工作方案的通知》（闽环保固体〔2020〕8号）等要求，对辖区内所有产废单位进行全面规范化管理，全面提升危险废物规范化管理水平，保障生态环境安全，结合平潭实际情况，制订本方案。</w:t>
      </w:r>
    </w:p>
    <w:p>
      <w:pPr>
        <w:spacing w:line="600" w:lineRule="exact"/>
        <w:ind w:firstLine="640" w:firstLineChars="200"/>
        <w:rPr>
          <w:rFonts w:hint="eastAsia" w:ascii="黑体" w:hAnsi="宋体" w:eastAsia="黑体" w:cs="黑体"/>
          <w:color w:val="000000"/>
          <w:sz w:val="32"/>
          <w:szCs w:val="32"/>
        </w:rPr>
      </w:pPr>
      <w:r>
        <w:rPr>
          <w:rFonts w:hint="eastAsia" w:ascii="黑体" w:hAnsi="宋体" w:eastAsia="黑体" w:cs="黑体"/>
          <w:color w:val="000000"/>
          <w:sz w:val="32"/>
          <w:szCs w:val="32"/>
          <w:lang w:bidi="ar"/>
        </w:rPr>
        <w:t>一、主要任务</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 xml:space="preserve">1.建立产废单位名单（见附件1，管理过程中新增企业将补充纳入考核）。 </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2.按照《工业危险废物产生单位规范化管理指标及抽查表》（附件2），组织对辖区产废单位进行考评考核，并填写《被抽查单位基本情况记录表》（见附件3），10月底前通报全区检查考核情况。</w:t>
      </w: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3.建立涉危险废物案件和问题清单销号制度，对检查考核过程中发现的问题建立清单并及时处理。</w:t>
      </w: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4.对各产废单位危险废物转移联单管理、运行状况进行检查。</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5.组织开展局政策法规与督查处、水生态环境处、大气环境处、土壤生态环境处、监察支队、应急中心相关工作人员及产废单位相关人员进行危险废物规范化管理培训。</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 xml:space="preserve">6.更新完善省控危险废物企业管理档案，实行一企一档。档案包括企业的基础信息、年度管理计划、危险废物转移联单、事故应急预案备案表、排污申报登记等。 </w:t>
      </w:r>
    </w:p>
    <w:p>
      <w:pPr>
        <w:spacing w:line="600" w:lineRule="exact"/>
        <w:ind w:firstLine="640" w:firstLineChars="200"/>
        <w:rPr>
          <w:rFonts w:hint="eastAsia" w:ascii="黑体" w:hAnsi="宋体" w:eastAsia="黑体" w:cs="黑体"/>
          <w:color w:val="000000"/>
          <w:sz w:val="32"/>
          <w:szCs w:val="32"/>
        </w:rPr>
      </w:pPr>
      <w:r>
        <w:rPr>
          <w:rFonts w:hint="eastAsia" w:ascii="黑体" w:hAnsi="宋体" w:eastAsia="黑体" w:cs="黑体"/>
          <w:color w:val="000000"/>
          <w:sz w:val="32"/>
          <w:szCs w:val="32"/>
          <w:lang w:bidi="ar"/>
        </w:rPr>
        <w:t>二、组织机构</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为加强危险废物规范化管理工作，成立危险废物规范化管理工作领导小组，组织指导全区开展危险废物规范化管理工作。</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组  长：李志胜    局党组成员、副局长</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成  员：陈  平    局土壤生态环境处负责人</w:t>
      </w:r>
    </w:p>
    <w:p>
      <w:pPr>
        <w:spacing w:line="600" w:lineRule="exact"/>
        <w:ind w:firstLine="1920" w:firstLineChars="6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魏文何    局大气环境处负责人</w:t>
      </w:r>
    </w:p>
    <w:p>
      <w:pPr>
        <w:spacing w:line="600" w:lineRule="exact"/>
        <w:ind w:firstLine="1872" w:firstLineChars="600"/>
        <w:rPr>
          <w:rFonts w:hint="eastAsia" w:ascii="仿宋_GB2312" w:eastAsia="仿宋_GB2312" w:cs="仿宋_GB2312"/>
          <w:color w:val="000000"/>
          <w:sz w:val="32"/>
          <w:szCs w:val="32"/>
          <w:lang w:bidi="ar"/>
        </w:rPr>
      </w:pPr>
      <w:r>
        <w:rPr>
          <w:rFonts w:hint="eastAsia" w:ascii="仿宋_GB2312" w:eastAsia="仿宋_GB2312" w:cs="仿宋_GB2312"/>
          <w:color w:val="000000"/>
          <w:spacing w:val="-4"/>
          <w:sz w:val="32"/>
          <w:szCs w:val="32"/>
          <w:lang w:bidi="ar"/>
        </w:rPr>
        <w:t>黄吉甫     局</w:t>
      </w:r>
      <w:r>
        <w:rPr>
          <w:rFonts w:hint="eastAsia" w:ascii="仿宋_GB2312" w:eastAsia="仿宋_GB2312" w:cs="仿宋_GB2312"/>
          <w:color w:val="000000"/>
          <w:sz w:val="32"/>
          <w:szCs w:val="32"/>
          <w:lang w:bidi="ar"/>
        </w:rPr>
        <w:t>水生态环境处负责人</w:t>
      </w:r>
    </w:p>
    <w:p>
      <w:pPr>
        <w:spacing w:line="600" w:lineRule="exact"/>
        <w:ind w:firstLine="1872" w:firstLineChars="600"/>
        <w:rPr>
          <w:rFonts w:hint="eastAsia" w:ascii="仿宋_GB2312" w:eastAsia="仿宋_GB2312" w:cs="仿宋_GB2312"/>
          <w:color w:val="000000"/>
          <w:spacing w:val="-4"/>
          <w:sz w:val="32"/>
          <w:szCs w:val="32"/>
          <w:lang w:bidi="ar"/>
        </w:rPr>
      </w:pPr>
      <w:r>
        <w:rPr>
          <w:rFonts w:hint="eastAsia" w:ascii="仿宋_GB2312" w:eastAsia="仿宋_GB2312" w:cs="仿宋_GB2312"/>
          <w:color w:val="000000"/>
          <w:spacing w:val="-4"/>
          <w:sz w:val="32"/>
          <w:szCs w:val="32"/>
          <w:lang w:bidi="ar"/>
        </w:rPr>
        <w:t>何经建</w:t>
      </w:r>
      <w:r>
        <w:rPr>
          <w:rFonts w:hint="eastAsia" w:ascii="仿宋_GB2312" w:eastAsia="仿宋_GB2312" w:cs="仿宋_GB2312"/>
          <w:color w:val="000000"/>
          <w:sz w:val="32"/>
          <w:szCs w:val="32"/>
          <w:lang w:bidi="ar"/>
        </w:rPr>
        <w:t xml:space="preserve">     </w:t>
      </w:r>
      <w:r>
        <w:rPr>
          <w:rFonts w:hint="eastAsia" w:ascii="仿宋_GB2312" w:eastAsia="仿宋_GB2312" w:cs="仿宋_GB2312"/>
          <w:color w:val="000000"/>
          <w:spacing w:val="-4"/>
          <w:sz w:val="32"/>
          <w:szCs w:val="32"/>
          <w:lang w:bidi="ar"/>
        </w:rPr>
        <w:t>区环境监察支队负责人</w:t>
      </w:r>
    </w:p>
    <w:p>
      <w:pPr>
        <w:spacing w:line="600" w:lineRule="exact"/>
        <w:ind w:firstLine="1920" w:firstLineChars="6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郑西德    局土壤生态环境处一级科员</w:t>
      </w:r>
    </w:p>
    <w:p>
      <w:pPr>
        <w:spacing w:line="600" w:lineRule="exact"/>
        <w:ind w:firstLine="1920" w:firstLineChars="6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俞宏焰    局土壤生态环境处干部</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领导小组办公室设在局土壤生态环境处，负责危险废物规范化管理日常工作。</w:t>
      </w:r>
    </w:p>
    <w:p>
      <w:pPr>
        <w:spacing w:line="600" w:lineRule="exact"/>
        <w:ind w:firstLine="640" w:firstLineChars="200"/>
        <w:rPr>
          <w:rFonts w:hint="eastAsia" w:ascii="黑体" w:hAnsi="宋体" w:eastAsia="黑体" w:cs="黑体"/>
          <w:color w:val="000000"/>
          <w:sz w:val="32"/>
          <w:szCs w:val="32"/>
        </w:rPr>
      </w:pPr>
      <w:r>
        <w:rPr>
          <w:rFonts w:hint="eastAsia" w:ascii="黑体" w:hAnsi="宋体" w:eastAsia="黑体" w:cs="黑体"/>
          <w:color w:val="000000"/>
          <w:sz w:val="32"/>
          <w:szCs w:val="32"/>
          <w:lang w:bidi="ar"/>
        </w:rPr>
        <w:t>三、考核要求</w:t>
      </w:r>
    </w:p>
    <w:p>
      <w:pPr>
        <w:spacing w:line="600" w:lineRule="exact"/>
        <w:ind w:firstLine="643" w:firstLineChars="200"/>
        <w:rPr>
          <w:rFonts w:hint="eastAsia" w:ascii="楷体_GB2312" w:eastAsia="楷体_GB2312" w:cs="楷体_GB2312"/>
          <w:b/>
          <w:color w:val="000000"/>
          <w:sz w:val="32"/>
          <w:szCs w:val="32"/>
        </w:rPr>
      </w:pPr>
      <w:r>
        <w:rPr>
          <w:rFonts w:hint="eastAsia" w:ascii="楷体_GB2312" w:eastAsia="楷体_GB2312" w:cs="楷体_GB2312"/>
          <w:b/>
          <w:color w:val="000000"/>
          <w:sz w:val="32"/>
          <w:szCs w:val="32"/>
          <w:lang w:bidi="ar"/>
        </w:rPr>
        <w:t>（一）考核对象</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生产经营过程中产生危险废物的单位。</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1.2019年度考核结果为不达标或基本达标的产废单位，在2020年度要重点考核。</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2.对于年产生危险废物小于1吨的小微企业规范化核，可结合实际适当简化考核内容，主要考核企业是否按要求委托有资质单位处置危险废物、是否规范运行危险废物转移联单、是否建设规范危废贮存场所和标识标签、是否制</w:t>
      </w:r>
      <w:r>
        <w:rPr>
          <w:rFonts w:hint="eastAsia" w:ascii="仿宋_GB2312" w:eastAsia="仿宋_GB2312" w:cs="仿宋_GB2312"/>
          <w:color w:val="000000"/>
          <w:w w:val="98"/>
          <w:sz w:val="32"/>
          <w:szCs w:val="32"/>
          <w:lang w:bidi="ar"/>
        </w:rPr>
        <w:t>订年度管理计划和及时登录信息管理平台进行申报登记工</w:t>
      </w:r>
      <w:r>
        <w:rPr>
          <w:rFonts w:hint="eastAsia" w:ascii="仿宋_GB2312" w:eastAsia="仿宋_GB2312" w:cs="仿宋_GB2312"/>
          <w:color w:val="000000"/>
          <w:sz w:val="32"/>
          <w:szCs w:val="32"/>
          <w:lang w:bidi="ar"/>
        </w:rPr>
        <w:t>作。</w:t>
      </w:r>
    </w:p>
    <w:p>
      <w:pPr>
        <w:spacing w:line="600" w:lineRule="exact"/>
        <w:ind w:firstLine="643" w:firstLineChars="200"/>
        <w:rPr>
          <w:rFonts w:hint="eastAsia" w:ascii="楷体_GB2312" w:eastAsia="楷体_GB2312" w:cs="楷体_GB2312"/>
          <w:b/>
          <w:color w:val="000000"/>
          <w:sz w:val="32"/>
          <w:szCs w:val="32"/>
        </w:rPr>
      </w:pPr>
      <w:r>
        <w:rPr>
          <w:rFonts w:hint="eastAsia" w:ascii="楷体_GB2312" w:eastAsia="楷体_GB2312" w:cs="楷体_GB2312"/>
          <w:b/>
          <w:color w:val="000000"/>
          <w:sz w:val="32"/>
          <w:szCs w:val="32"/>
          <w:lang w:bidi="ar"/>
        </w:rPr>
        <w:t>（二）考核评分标准</w:t>
      </w: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1.按照《工业危险废物产生单位规范化管理指标及抽查表》项目指标要求及分数进行评分。</w:t>
      </w: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2.本年度内因危险废物环境管理问题被生态环境部门处罚的，视情况对该企业进行降档处理。</w:t>
      </w:r>
    </w:p>
    <w:p>
      <w:pPr>
        <w:spacing w:line="600" w:lineRule="exact"/>
        <w:ind w:firstLine="640" w:firstLineChars="200"/>
        <w:rPr>
          <w:rFonts w:hint="eastAsia" w:ascii="黑体" w:hAnsi="宋体" w:eastAsia="黑体" w:cs="黑体"/>
          <w:color w:val="000000"/>
          <w:sz w:val="32"/>
          <w:szCs w:val="32"/>
          <w:lang w:bidi="ar"/>
        </w:rPr>
      </w:pPr>
      <w:r>
        <w:rPr>
          <w:rFonts w:hint="eastAsia" w:ascii="黑体" w:hAnsi="宋体" w:eastAsia="黑体" w:cs="黑体"/>
          <w:color w:val="000000"/>
          <w:sz w:val="32"/>
          <w:szCs w:val="32"/>
          <w:lang w:bidi="ar"/>
        </w:rPr>
        <w:t>四、考核时间安排</w:t>
      </w:r>
    </w:p>
    <w:p>
      <w:pPr>
        <w:spacing w:line="600" w:lineRule="exact"/>
        <w:ind w:firstLine="640" w:firstLineChars="200"/>
        <w:rPr>
          <w:rFonts w:hint="eastAsia" w:ascii="仿宋_GB2312" w:hAnsi="仿宋_GB2312" w:eastAsia="仿宋_GB2312" w:cs="仿宋_GB2312"/>
          <w:bCs/>
          <w:color w:val="000000"/>
          <w:sz w:val="32"/>
          <w:szCs w:val="32"/>
          <w:lang w:bidi="ar"/>
        </w:rPr>
      </w:pPr>
      <w:r>
        <w:rPr>
          <w:rFonts w:hint="eastAsia" w:ascii="仿宋_GB2312" w:hAnsi="仿宋_GB2312" w:eastAsia="仿宋_GB2312" w:cs="仿宋_GB2312"/>
          <w:bCs/>
          <w:color w:val="000000"/>
          <w:sz w:val="32"/>
          <w:szCs w:val="32"/>
          <w:lang w:bidi="ar"/>
        </w:rPr>
        <w:t>按照“一季一重点”的要求，开展危险废物规范化管理工作。</w:t>
      </w:r>
    </w:p>
    <w:p>
      <w:pPr>
        <w:spacing w:line="600" w:lineRule="exact"/>
        <w:ind w:firstLine="643" w:firstLineChars="200"/>
        <w:rPr>
          <w:rFonts w:hint="eastAsia" w:ascii="楷体_GB2312" w:eastAsia="楷体_GB2312" w:cs="楷体_GB2312"/>
          <w:b/>
          <w:color w:val="000000"/>
          <w:sz w:val="32"/>
          <w:szCs w:val="32"/>
        </w:rPr>
      </w:pPr>
      <w:r>
        <w:rPr>
          <w:rFonts w:hint="eastAsia" w:ascii="楷体_GB2312" w:eastAsia="楷体_GB2312" w:cs="楷体_GB2312"/>
          <w:b/>
          <w:color w:val="000000"/>
          <w:sz w:val="32"/>
          <w:szCs w:val="32"/>
          <w:lang w:bidi="ar"/>
        </w:rPr>
        <w:t>（一）一季度</w:t>
      </w: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根据《福建省生态环境厅关于印发2020年度福建省危险废物规范化管理工作方案的通知》（闽环保固体〔2020〕8号）要求，编制年度管理工作方案。组织对全区产废单位上年度规范化管理发现的问题整改落实情况进行全覆盖“回头看”，侧重检查上年度考核不达标、基本达标企业的整改落实情况，确保企业整改到位、达标。</w:t>
      </w:r>
    </w:p>
    <w:p>
      <w:pPr>
        <w:numPr>
          <w:ilvl w:val="0"/>
          <w:numId w:val="1"/>
        </w:numPr>
        <w:spacing w:line="600" w:lineRule="exact"/>
        <w:ind w:firstLine="643" w:firstLineChars="200"/>
        <w:rPr>
          <w:rFonts w:hint="eastAsia" w:ascii="楷体_GB2312" w:eastAsia="楷体_GB2312" w:cs="楷体_GB2312"/>
          <w:b/>
          <w:color w:val="000000"/>
          <w:sz w:val="32"/>
          <w:szCs w:val="32"/>
          <w:lang w:bidi="ar"/>
        </w:rPr>
      </w:pPr>
      <w:r>
        <w:rPr>
          <w:rFonts w:hint="eastAsia" w:ascii="楷体_GB2312" w:eastAsia="楷体_GB2312" w:cs="楷体_GB2312"/>
          <w:b/>
          <w:color w:val="000000"/>
          <w:sz w:val="32"/>
          <w:szCs w:val="32"/>
          <w:lang w:bidi="ar"/>
        </w:rPr>
        <w:t>二季度</w:t>
      </w:r>
    </w:p>
    <w:p>
      <w:pPr>
        <w:spacing w:line="600" w:lineRule="exact"/>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结合相关专项行动，组织对产废单位</w:t>
      </w:r>
      <w:r>
        <w:rPr>
          <w:rFonts w:hint="eastAsia" w:ascii="仿宋_GB2312" w:eastAsia="仿宋_GB2312" w:cs="仿宋_GB2312"/>
          <w:color w:val="000000"/>
          <w:sz w:val="32"/>
          <w:szCs w:val="32"/>
          <w:lang w:bidi="ar"/>
        </w:rPr>
        <w:t>规范化管理能力提升</w:t>
      </w:r>
      <w:r>
        <w:rPr>
          <w:rFonts w:hint="eastAsia" w:ascii="仿宋_GB2312" w:hAnsi="仿宋_GB2312" w:eastAsia="仿宋_GB2312" w:cs="仿宋_GB2312"/>
          <w:color w:val="000000"/>
          <w:sz w:val="32"/>
          <w:szCs w:val="32"/>
        </w:rPr>
        <w:t>进行指导和“回头看”；组织</w:t>
      </w:r>
      <w:r>
        <w:rPr>
          <w:rFonts w:hint="eastAsia" w:ascii="仿宋_GB2312" w:eastAsia="仿宋_GB2312" w:cs="仿宋_GB2312"/>
          <w:color w:val="000000"/>
          <w:sz w:val="32"/>
          <w:szCs w:val="32"/>
          <w:lang w:bidi="ar"/>
        </w:rPr>
        <w:t>开展危险废物规范化管理培训。</w:t>
      </w:r>
    </w:p>
    <w:p>
      <w:pPr>
        <w:spacing w:line="600" w:lineRule="exact"/>
        <w:ind w:firstLine="643" w:firstLineChars="200"/>
        <w:rPr>
          <w:rFonts w:hint="eastAsia" w:ascii="楷体_GB2312" w:eastAsia="楷体_GB2312" w:cs="楷体_GB2312"/>
          <w:b/>
          <w:color w:val="000000"/>
          <w:sz w:val="32"/>
          <w:szCs w:val="32"/>
        </w:rPr>
      </w:pPr>
      <w:r>
        <w:rPr>
          <w:rFonts w:hint="eastAsia" w:ascii="楷体_GB2312" w:eastAsia="楷体_GB2312" w:cs="楷体_GB2312"/>
          <w:b/>
          <w:color w:val="000000"/>
          <w:sz w:val="32"/>
          <w:szCs w:val="32"/>
          <w:lang w:bidi="ar"/>
        </w:rPr>
        <w:t>（三）三季度</w:t>
      </w: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组织</w:t>
      </w:r>
      <w:r>
        <w:rPr>
          <w:rFonts w:hint="eastAsia" w:ascii="仿宋_GB2312" w:hAnsi="仿宋_GB2312" w:eastAsia="仿宋_GB2312" w:cs="仿宋_GB2312"/>
          <w:color w:val="000000"/>
          <w:sz w:val="32"/>
          <w:szCs w:val="32"/>
        </w:rPr>
        <w:t>对产废单位进行</w:t>
      </w:r>
      <w:r>
        <w:rPr>
          <w:rFonts w:hint="eastAsia" w:ascii="仿宋_GB2312" w:eastAsia="仿宋_GB2312" w:cs="仿宋_GB2312"/>
          <w:color w:val="000000"/>
          <w:sz w:val="32"/>
          <w:szCs w:val="32"/>
          <w:lang w:bidi="ar"/>
        </w:rPr>
        <w:t>危险废物规范化管理检查考核，严格按照《工业危险废物产生单位规范化管理指标及抽查表》项目指标要求及分数进行评分，形成危险废物规范化管理考核工作情况报告。</w:t>
      </w:r>
    </w:p>
    <w:p>
      <w:pPr>
        <w:spacing w:line="600" w:lineRule="exact"/>
        <w:ind w:firstLine="643" w:firstLineChars="200"/>
        <w:rPr>
          <w:rFonts w:hint="eastAsia" w:ascii="楷体_GB2312" w:eastAsia="楷体_GB2312" w:cs="楷体_GB2312"/>
          <w:b/>
          <w:color w:val="000000"/>
          <w:sz w:val="32"/>
          <w:szCs w:val="32"/>
        </w:rPr>
      </w:pPr>
      <w:r>
        <w:rPr>
          <w:rFonts w:hint="eastAsia" w:ascii="楷体_GB2312" w:eastAsia="楷体_GB2312" w:cs="楷体_GB2312"/>
          <w:b/>
          <w:color w:val="000000"/>
          <w:sz w:val="32"/>
          <w:szCs w:val="32"/>
          <w:lang w:bidi="ar"/>
        </w:rPr>
        <w:t>（四）四季度</w:t>
      </w:r>
    </w:p>
    <w:p>
      <w:pPr>
        <w:spacing w:line="600" w:lineRule="exact"/>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 xml:space="preserve">    10月份，按照《危险废物规范化管理考核工作评级指标》，进行自评打分，总结年度规范化管理考核情况。指导产废单位对规范化考核中发现的问题进行整改，迎接省级对我区的危险废物规范化管理工作的考核。同时，整理我区</w:t>
      </w:r>
      <w:r>
        <w:rPr>
          <w:rFonts w:hint="eastAsia" w:ascii="仿宋_GB2312" w:hAnsi="仿宋_GB2312" w:eastAsia="仿宋_GB2312" w:cs="仿宋_GB2312"/>
          <w:color w:val="000000"/>
          <w:sz w:val="32"/>
          <w:szCs w:val="32"/>
        </w:rPr>
        <w:t>产废单位</w:t>
      </w:r>
      <w:r>
        <w:rPr>
          <w:rFonts w:hint="eastAsia" w:ascii="仿宋_GB2312" w:eastAsia="仿宋_GB2312" w:cs="仿宋_GB2312"/>
          <w:color w:val="000000"/>
          <w:sz w:val="32"/>
          <w:szCs w:val="32"/>
          <w:lang w:bidi="ar"/>
        </w:rPr>
        <w:t>危险废物规范化管理检查考核情况，于2021年1月10日前将本年度的考核结果在中国平潭网向社会公布，接受社会监督。</w:t>
      </w:r>
    </w:p>
    <w:p>
      <w:pPr>
        <w:spacing w:line="600" w:lineRule="exact"/>
        <w:ind w:firstLine="640" w:firstLineChars="200"/>
        <w:rPr>
          <w:rFonts w:hint="eastAsia" w:ascii="黑体" w:hAnsi="宋体" w:eastAsia="黑体" w:cs="黑体"/>
          <w:color w:val="000000"/>
          <w:sz w:val="32"/>
          <w:szCs w:val="32"/>
        </w:rPr>
      </w:pPr>
      <w:r>
        <w:rPr>
          <w:rFonts w:hint="eastAsia" w:ascii="黑体" w:hAnsi="宋体" w:eastAsia="黑体" w:cs="黑体"/>
          <w:color w:val="000000"/>
          <w:sz w:val="32"/>
          <w:szCs w:val="32"/>
          <w:lang w:bidi="ar"/>
        </w:rPr>
        <w:t>五、考核结果应用</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1.对本年度危险废物规范化管理督查考核达标的企业在下一年度考核中可适当简化；</w:t>
      </w: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2.对本年度危险废物规范化管理督查考核不达标的企业进行通报；</w:t>
      </w: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3.对考核过程中发现的企业违法行为将严格依法查处，涉嫌环境犯罪的移送司法机关。</w:t>
      </w: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4.将考核结果纳入企业环境信用评价体系中，构建“守信激励、失信惩戒”机制，促进企业守法自律。</w:t>
      </w:r>
    </w:p>
    <w:p>
      <w:pPr>
        <w:spacing w:line="600" w:lineRule="exact"/>
        <w:ind w:firstLine="640" w:firstLineChars="200"/>
        <w:rPr>
          <w:rFonts w:hint="eastAsia" w:ascii="黑体" w:hAnsi="宋体" w:eastAsia="黑体" w:cs="黑体"/>
          <w:color w:val="000000"/>
          <w:sz w:val="32"/>
          <w:szCs w:val="32"/>
        </w:rPr>
      </w:pPr>
      <w:r>
        <w:rPr>
          <w:rFonts w:hint="eastAsia" w:ascii="黑体" w:hAnsi="宋体" w:eastAsia="黑体" w:cs="黑体"/>
          <w:color w:val="000000"/>
          <w:sz w:val="32"/>
          <w:szCs w:val="32"/>
          <w:lang w:bidi="ar"/>
        </w:rPr>
        <w:t>六、保障措施</w:t>
      </w:r>
    </w:p>
    <w:p>
      <w:pPr>
        <w:spacing w:line="600" w:lineRule="exact"/>
        <w:ind w:firstLine="643" w:firstLineChars="200"/>
        <w:rPr>
          <w:rFonts w:hint="eastAsia" w:ascii="楷体_GB2312" w:eastAsia="楷体_GB2312" w:cs="楷体_GB2312"/>
          <w:b/>
          <w:color w:val="000000"/>
          <w:sz w:val="32"/>
          <w:szCs w:val="32"/>
        </w:rPr>
      </w:pPr>
      <w:r>
        <w:rPr>
          <w:rFonts w:hint="eastAsia" w:ascii="楷体_GB2312" w:eastAsia="楷体_GB2312" w:cs="楷体_GB2312"/>
          <w:b/>
          <w:color w:val="000000"/>
          <w:sz w:val="32"/>
          <w:szCs w:val="32"/>
          <w:lang w:bidi="ar"/>
        </w:rPr>
        <w:t>(一)加强组织、落实责任</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规范化管理工作由局土壤生态环境处牵头落实，其他相关处室单位按职责分工落实。各产废单位要高度重视危险废物规范化管理工作，健全管理机制、强化主体责任，做到有领导分管、有部门负责、有固定人员管理。</w:t>
      </w:r>
    </w:p>
    <w:p>
      <w:pPr>
        <w:spacing w:line="600" w:lineRule="exact"/>
        <w:ind w:firstLine="643" w:firstLineChars="200"/>
        <w:rPr>
          <w:rFonts w:hint="eastAsia" w:ascii="楷体_GB2312" w:eastAsia="楷体_GB2312" w:cs="楷体_GB2312"/>
          <w:b/>
          <w:color w:val="000000"/>
          <w:sz w:val="32"/>
          <w:szCs w:val="32"/>
        </w:rPr>
      </w:pPr>
      <w:r>
        <w:rPr>
          <w:rFonts w:hint="eastAsia" w:ascii="楷体_GB2312" w:eastAsia="楷体_GB2312" w:cs="楷体_GB2312"/>
          <w:b/>
          <w:color w:val="000000"/>
          <w:sz w:val="32"/>
          <w:szCs w:val="32"/>
          <w:lang w:bidi="ar"/>
        </w:rPr>
        <w:t>(二)掌握家底、强化监管</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局土壤生态环境处要牵头督促辖区内危险废物产生单位运用“福建省生态环境亲清服务平台”进行申报登记，及时动态掌握危险废物管理计划、产生、贮存、转移、处置情况，实现“来源可查、去向可追、监督留痕、责任可究”的全过程信息化监管。建立问题台账，强化结果导向，推动边查边改、立行立改，严防问题查而不改、反弹回潮。区</w:t>
      </w:r>
      <w:r>
        <w:rPr>
          <w:rFonts w:hint="eastAsia" w:ascii="仿宋_GB2312" w:eastAsia="仿宋_GB2312" w:cs="仿宋_GB2312"/>
          <w:color w:val="000000"/>
          <w:spacing w:val="-4"/>
          <w:sz w:val="32"/>
          <w:szCs w:val="32"/>
          <w:lang w:bidi="ar"/>
        </w:rPr>
        <w:t>环境监察支队</w:t>
      </w:r>
      <w:r>
        <w:rPr>
          <w:rFonts w:hint="eastAsia" w:ascii="仿宋_GB2312" w:eastAsia="仿宋_GB2312" w:cs="仿宋_GB2312"/>
          <w:color w:val="000000"/>
          <w:sz w:val="32"/>
          <w:szCs w:val="32"/>
          <w:lang w:bidi="ar"/>
        </w:rPr>
        <w:t>对发现的违法问题，应及时固定证据并依法依规查处，涉嫌环境犯罪的，要移送司法机关。</w:t>
      </w:r>
    </w:p>
    <w:p>
      <w:pPr>
        <w:spacing w:line="600" w:lineRule="exact"/>
        <w:ind w:firstLine="643" w:firstLineChars="200"/>
        <w:rPr>
          <w:rFonts w:hint="eastAsia" w:ascii="楷体_GB2312" w:eastAsia="楷体_GB2312" w:cs="楷体_GB2312"/>
          <w:b/>
          <w:color w:val="000000"/>
          <w:sz w:val="32"/>
          <w:szCs w:val="32"/>
        </w:rPr>
      </w:pPr>
      <w:r>
        <w:rPr>
          <w:rFonts w:hint="eastAsia" w:ascii="楷体_GB2312" w:eastAsia="楷体_GB2312" w:cs="楷体_GB2312"/>
          <w:b/>
          <w:color w:val="000000"/>
          <w:sz w:val="32"/>
          <w:szCs w:val="32"/>
          <w:lang w:bidi="ar"/>
        </w:rPr>
        <w:t>(三)开展培训、提升水平</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 xml:space="preserve">局土壤生态环境处应积极开展危险废物规范化管理、相关法律法规和业务知识培训，强化相关人员的规范化管理能力。各产废单位要积极组织企业内部管理及工作人员的危险废物规范化管理培训，加强危险废物环境风险防范意识，提升规范化管理能力，促使企业危险废物管理各个环节规范化，确保考核达标。 </w:t>
      </w:r>
    </w:p>
    <w:p>
      <w:pPr>
        <w:spacing w:line="600" w:lineRule="exact"/>
        <w:rPr>
          <w:rFonts w:hint="eastAsia" w:ascii="仿宋_GB2312" w:eastAsia="仿宋_GB2312" w:cs="仿宋_GB2312"/>
          <w:color w:val="000000"/>
          <w:sz w:val="32"/>
          <w:szCs w:val="32"/>
        </w:rPr>
      </w:pPr>
    </w:p>
    <w:p>
      <w:pPr>
        <w:spacing w:line="600" w:lineRule="exact"/>
        <w:ind w:left="1438" w:leftChars="304" w:hanging="800" w:hangingChars="25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附件：1.</w:t>
      </w:r>
      <w:r>
        <w:rPr>
          <w:rFonts w:hint="eastAsia" w:ascii="仿宋_GB2312" w:eastAsia="仿宋_GB2312" w:cs="仿宋_GB2312"/>
          <w:color w:val="000000"/>
          <w:spacing w:val="-23"/>
          <w:sz w:val="32"/>
          <w:szCs w:val="32"/>
          <w:lang w:bidi="ar"/>
        </w:rPr>
        <w:t>2020年平潭综合实验区危险废物产生单位名单</w:t>
      </w:r>
    </w:p>
    <w:p>
      <w:pPr>
        <w:spacing w:line="600" w:lineRule="exact"/>
        <w:ind w:left="2080" w:hanging="2080" w:hangingChars="65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 xml:space="preserve">          2.</w:t>
      </w:r>
      <w:r>
        <w:rPr>
          <w:rFonts w:hint="eastAsia"/>
          <w:color w:val="000000"/>
        </w:rPr>
        <w:t xml:space="preserve"> </w:t>
      </w:r>
      <w:r>
        <w:rPr>
          <w:rFonts w:hint="eastAsia" w:ascii="仿宋_GB2312" w:eastAsia="仿宋_GB2312" w:cs="仿宋_GB2312"/>
          <w:color w:val="000000"/>
          <w:sz w:val="32"/>
          <w:szCs w:val="32"/>
          <w:lang w:bidi="ar"/>
        </w:rPr>
        <w:t>工业危险废物产生单位规范化管理指标及抽查表</w:t>
      </w:r>
    </w:p>
    <w:p>
      <w:pPr>
        <w:spacing w:line="600" w:lineRule="exact"/>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 xml:space="preserve">          3.被抽查单位基本情况记录表</w:t>
      </w:r>
    </w:p>
    <w:p>
      <w:pPr>
        <w:spacing w:line="600" w:lineRule="exact"/>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 xml:space="preserve">          4.重点产废企业识别</w:t>
      </w:r>
    </w:p>
    <w:p>
      <w:pPr>
        <w:spacing w:line="600" w:lineRule="exact"/>
        <w:ind w:left="2236" w:leftChars="760" w:hanging="640" w:hanging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5.产废单位管理要求</w:t>
      </w:r>
    </w:p>
    <w:p>
      <w:pPr>
        <w:spacing w:line="600" w:lineRule="exact"/>
        <w:rPr>
          <w:rFonts w:hint="eastAsia" w:ascii="仿宋_GB2312" w:eastAsia="仿宋_GB2312" w:cs="仿宋_GB2312"/>
          <w:color w:val="000000"/>
          <w:sz w:val="32"/>
          <w:szCs w:val="32"/>
          <w:lang w:bidi="ar"/>
        </w:rPr>
      </w:pPr>
    </w:p>
    <w:p>
      <w:pPr>
        <w:spacing w:line="600" w:lineRule="exact"/>
        <w:ind w:right="-58"/>
        <w:rPr>
          <w:rFonts w:hint="eastAsia" w:ascii="仿宋_GB2312" w:eastAsia="仿宋_GB2312" w:cs="仿宋_GB2312"/>
          <w:color w:val="000000"/>
          <w:sz w:val="32"/>
          <w:szCs w:val="32"/>
        </w:rPr>
      </w:pPr>
    </w:p>
    <w:p>
      <w:pPr>
        <w:spacing w:line="600" w:lineRule="exact"/>
        <w:ind w:right="-58"/>
        <w:rPr>
          <w:rFonts w:hint="eastAsia" w:ascii="仿宋_GB2312" w:eastAsia="仿宋_GB2312" w:cs="仿宋_GB2312"/>
          <w:color w:val="000000"/>
          <w:sz w:val="32"/>
          <w:szCs w:val="32"/>
        </w:rPr>
      </w:pPr>
    </w:p>
    <w:p>
      <w:pPr>
        <w:spacing w:line="600" w:lineRule="exact"/>
        <w:ind w:right="-58"/>
        <w:rPr>
          <w:rFonts w:hint="eastAsia" w:ascii="仿宋_GB2312" w:eastAsia="仿宋_GB2312" w:cs="仿宋_GB2312"/>
          <w:color w:val="000000"/>
          <w:sz w:val="32"/>
          <w:szCs w:val="32"/>
        </w:rPr>
      </w:pPr>
    </w:p>
    <w:p>
      <w:pPr>
        <w:spacing w:line="600" w:lineRule="exact"/>
        <w:ind w:right="-58"/>
        <w:rPr>
          <w:rFonts w:hint="eastAsia" w:ascii="仿宋_GB2312" w:eastAsia="仿宋_GB2312" w:cs="仿宋_GB2312"/>
          <w:color w:val="000000"/>
          <w:sz w:val="32"/>
          <w:szCs w:val="32"/>
        </w:rPr>
      </w:pPr>
    </w:p>
    <w:p>
      <w:pPr>
        <w:spacing w:line="600" w:lineRule="exact"/>
        <w:ind w:right="-58"/>
        <w:rPr>
          <w:rFonts w:hint="eastAsia" w:ascii="仿宋_GB2312" w:eastAsia="仿宋_GB2312" w:cs="仿宋_GB2312"/>
          <w:color w:val="000000"/>
          <w:sz w:val="32"/>
          <w:szCs w:val="32"/>
        </w:rPr>
        <w:sectPr>
          <w:pgSz w:w="11906" w:h="16838"/>
          <w:pgMar w:top="1440" w:right="1800" w:bottom="1440" w:left="1800" w:header="851" w:footer="992" w:gutter="0"/>
          <w:pgNumType w:fmt="numberInDash"/>
          <w:cols w:space="720" w:num="1"/>
          <w:docGrid w:type="lines" w:linePitch="312" w:charSpace="0"/>
        </w:sectPr>
      </w:pPr>
    </w:p>
    <w:p>
      <w:pPr>
        <w:spacing w:line="600" w:lineRule="exact"/>
        <w:ind w:left="-286" w:leftChars="-337" w:right="102" w:hanging="422" w:hangingChars="132"/>
        <w:rPr>
          <w:rFonts w:hint="eastAsia" w:ascii="黑体" w:hAnsi="黑体" w:eastAsia="黑体" w:cs="黑体"/>
          <w:color w:val="000000"/>
          <w:sz w:val="32"/>
          <w:szCs w:val="32"/>
        </w:rPr>
      </w:pPr>
      <w:r>
        <w:rPr>
          <w:rFonts w:hint="eastAsia" w:ascii="黑体" w:hAnsi="黑体" w:eastAsia="黑体" w:cs="黑体"/>
          <w:color w:val="000000"/>
          <w:sz w:val="32"/>
          <w:szCs w:val="32"/>
          <w:lang w:bidi="ar"/>
        </w:rPr>
        <w:t>附件1</w:t>
      </w:r>
    </w:p>
    <w:p>
      <w:pPr>
        <w:spacing w:line="600" w:lineRule="exact"/>
        <w:ind w:right="102"/>
        <w:jc w:val="center"/>
        <w:rPr>
          <w:rFonts w:hint="eastAsia" w:ascii="方正小标宋简体" w:eastAsia="方正小标宋简体" w:cs="仿宋_GB2312"/>
          <w:b/>
          <w:color w:val="000000"/>
          <w:sz w:val="32"/>
          <w:szCs w:val="32"/>
          <w:lang w:bidi="ar"/>
        </w:rPr>
      </w:pPr>
      <w:r>
        <w:rPr>
          <w:rFonts w:hint="eastAsia" w:ascii="方正小标宋简体" w:eastAsia="方正小标宋简体" w:cs="仿宋_GB2312"/>
          <w:b/>
          <w:color w:val="000000"/>
          <w:sz w:val="32"/>
          <w:szCs w:val="32"/>
          <w:lang w:bidi="ar"/>
        </w:rPr>
        <w:t>2020年平潭综合实验区危险废物产生单位名单</w:t>
      </w:r>
    </w:p>
    <w:p>
      <w:pPr>
        <w:spacing w:line="600" w:lineRule="exact"/>
        <w:ind w:right="102"/>
        <w:rPr>
          <w:rFonts w:hint="eastAsia" w:ascii="方正小标宋简体" w:eastAsia="方正小标宋简体" w:cs="仿宋_GB2312"/>
          <w:b/>
          <w:color w:val="000000"/>
          <w:spacing w:val="-17"/>
          <w:sz w:val="32"/>
          <w:szCs w:val="32"/>
        </w:rPr>
      </w:pPr>
    </w:p>
    <w:tbl>
      <w:tblPr>
        <w:tblStyle w:val="4"/>
        <w:tblW w:w="0" w:type="auto"/>
        <w:jc w:val="center"/>
        <w:tblLayout w:type="fixed"/>
        <w:tblCellMar>
          <w:top w:w="0" w:type="dxa"/>
          <w:left w:w="108" w:type="dxa"/>
          <w:bottom w:w="0" w:type="dxa"/>
          <w:right w:w="108" w:type="dxa"/>
        </w:tblCellMar>
      </w:tblPr>
      <w:tblGrid>
        <w:gridCol w:w="546"/>
        <w:gridCol w:w="1092"/>
        <w:gridCol w:w="4717"/>
        <w:gridCol w:w="795"/>
        <w:gridCol w:w="2123"/>
        <w:gridCol w:w="1067"/>
      </w:tblGrid>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序号</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县（市）区</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企业名称</w:t>
            </w:r>
          </w:p>
        </w:tc>
        <w:tc>
          <w:tcPr>
            <w:tcW w:w="795"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监管级别</w:t>
            </w:r>
          </w:p>
        </w:tc>
        <w:tc>
          <w:tcPr>
            <w:tcW w:w="2123"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单位类型</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备注</w:t>
            </w: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1</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宸鸿科技（平潭）有限公司</w:t>
            </w:r>
          </w:p>
        </w:tc>
        <w:tc>
          <w:tcPr>
            <w:tcW w:w="795"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省控</w:t>
            </w:r>
          </w:p>
        </w:tc>
        <w:tc>
          <w:tcPr>
            <w:tcW w:w="2123"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2</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福建省平潭县看澳船舶修造有限公司</w:t>
            </w:r>
          </w:p>
        </w:tc>
        <w:tc>
          <w:tcPr>
            <w:tcW w:w="795"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省控</w:t>
            </w:r>
          </w:p>
        </w:tc>
        <w:tc>
          <w:tcPr>
            <w:tcW w:w="2123"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3</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福建省平潭县长泰船舶修造有限责任公司</w:t>
            </w:r>
          </w:p>
        </w:tc>
        <w:tc>
          <w:tcPr>
            <w:tcW w:w="795"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省控</w:t>
            </w:r>
          </w:p>
        </w:tc>
        <w:tc>
          <w:tcPr>
            <w:tcW w:w="2123"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4</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福建省平潭雄鹰船厂有限公司</w:t>
            </w:r>
          </w:p>
        </w:tc>
        <w:tc>
          <w:tcPr>
            <w:tcW w:w="795"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省控</w:t>
            </w:r>
          </w:p>
        </w:tc>
        <w:tc>
          <w:tcPr>
            <w:tcW w:w="2123"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5</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 xml:space="preserve">福建省汽车运输有限公司平潭分公司 </w:t>
            </w:r>
          </w:p>
        </w:tc>
        <w:tc>
          <w:tcPr>
            <w:tcW w:w="795"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市控</w:t>
            </w:r>
          </w:p>
        </w:tc>
        <w:tc>
          <w:tcPr>
            <w:tcW w:w="2123"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312"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6</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平潭综合实验区腾兴报废汽车回收拆解有限公司</w:t>
            </w:r>
          </w:p>
        </w:tc>
        <w:tc>
          <w:tcPr>
            <w:tcW w:w="795"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市控</w:t>
            </w:r>
          </w:p>
        </w:tc>
        <w:tc>
          <w:tcPr>
            <w:tcW w:w="2123"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pStyle w:val="3"/>
              <w:widowControl/>
              <w:spacing w:line="500" w:lineRule="exac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bidi="ar"/>
              </w:rPr>
              <w:t>7</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福州物供再生资源有限公司平潭拆解场</w:t>
            </w:r>
          </w:p>
        </w:tc>
        <w:tc>
          <w:tcPr>
            <w:tcW w:w="795"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市控</w:t>
            </w:r>
          </w:p>
        </w:tc>
        <w:tc>
          <w:tcPr>
            <w:tcW w:w="2123"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8</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rPr>
            </w:pPr>
            <w:r>
              <w:rPr>
                <w:rFonts w:hint="eastAsia" w:ascii="宋体" w:hAnsi="宋体" w:eastAsia="宋体" w:cs="宋体"/>
                <w:color w:val="000000"/>
                <w:kern w:val="0"/>
                <w:szCs w:val="21"/>
                <w:lang w:bidi="ar"/>
              </w:rPr>
              <w:t>平潭县梅特莱斯汽车美容养护中心</w:t>
            </w:r>
          </w:p>
        </w:tc>
        <w:tc>
          <w:tcPr>
            <w:tcW w:w="795"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ascii="宋体" w:hAnsi="宋体" w:eastAsia="宋体"/>
                <w:color w:val="000000"/>
                <w:szCs w:val="21"/>
              </w:rPr>
            </w:pPr>
            <w:r>
              <w:rPr>
                <w:rFonts w:hint="eastAsia" w:ascii="宋体" w:hAnsi="宋体" w:eastAsia="宋体" w:cs="宋体"/>
                <w:color w:val="000000"/>
                <w:kern w:val="0"/>
                <w:szCs w:val="21"/>
                <w:lang w:bidi="ar"/>
              </w:rPr>
              <w:t>市控</w:t>
            </w:r>
          </w:p>
        </w:tc>
        <w:tc>
          <w:tcPr>
            <w:tcW w:w="2123" w:type="dxa"/>
            <w:tcBorders>
              <w:top w:val="single" w:color="auto" w:sz="4" w:space="0"/>
              <w:left w:val="single" w:color="auto" w:sz="4" w:space="0"/>
              <w:bottom w:val="single" w:color="auto" w:sz="4" w:space="0"/>
              <w:right w:val="single" w:color="auto" w:sz="4" w:space="0"/>
            </w:tcBorders>
            <w:noWrap w:val="0"/>
            <w:vAlign w:val="top"/>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9</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平潭县汽车修配厂</w:t>
            </w:r>
          </w:p>
        </w:tc>
        <w:tc>
          <w:tcPr>
            <w:tcW w:w="795"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市控</w:t>
            </w:r>
          </w:p>
        </w:tc>
        <w:tc>
          <w:tcPr>
            <w:tcW w:w="2123" w:type="dxa"/>
            <w:tcBorders>
              <w:top w:val="single" w:color="auto" w:sz="4" w:space="0"/>
              <w:left w:val="single" w:color="auto" w:sz="4" w:space="0"/>
              <w:bottom w:val="single" w:color="auto" w:sz="4" w:space="0"/>
              <w:right w:val="single" w:color="auto" w:sz="4" w:space="0"/>
            </w:tcBorders>
            <w:noWrap w:val="0"/>
            <w:vAlign w:val="top"/>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10</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福建省华盛报废汽车回收拆解有限公司</w:t>
            </w:r>
          </w:p>
        </w:tc>
        <w:tc>
          <w:tcPr>
            <w:tcW w:w="795"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市控</w:t>
            </w:r>
          </w:p>
        </w:tc>
        <w:tc>
          <w:tcPr>
            <w:tcW w:w="2123" w:type="dxa"/>
            <w:tcBorders>
              <w:top w:val="single" w:color="auto" w:sz="4" w:space="0"/>
              <w:left w:val="single" w:color="auto" w:sz="4" w:space="0"/>
              <w:bottom w:val="single" w:color="auto" w:sz="4" w:space="0"/>
              <w:right w:val="single" w:color="auto" w:sz="4" w:space="0"/>
            </w:tcBorders>
            <w:noWrap w:val="0"/>
            <w:vAlign w:val="top"/>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r>
        <w:tblPrEx>
          <w:tblCellMar>
            <w:top w:w="0" w:type="dxa"/>
            <w:left w:w="108" w:type="dxa"/>
            <w:bottom w:w="0" w:type="dxa"/>
            <w:right w:w="108" w:type="dxa"/>
          </w:tblCellMar>
        </w:tblPrEx>
        <w:trPr>
          <w:trHeight w:val="288" w:hRule="atLeast"/>
          <w:jc w:val="center"/>
        </w:trPr>
        <w:tc>
          <w:tcPr>
            <w:tcW w:w="546"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11</w:t>
            </w:r>
          </w:p>
        </w:tc>
        <w:tc>
          <w:tcPr>
            <w:tcW w:w="1092"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区本级</w:t>
            </w:r>
          </w:p>
        </w:tc>
        <w:tc>
          <w:tcPr>
            <w:tcW w:w="471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平潭北厝垃圾焚烧发电有限公司</w:t>
            </w:r>
          </w:p>
        </w:tc>
        <w:tc>
          <w:tcPr>
            <w:tcW w:w="795" w:type="dxa"/>
            <w:tcBorders>
              <w:top w:val="single" w:color="auto" w:sz="4" w:space="0"/>
              <w:left w:val="single" w:color="auto" w:sz="4" w:space="0"/>
              <w:bottom w:val="single" w:color="auto" w:sz="4" w:space="0"/>
              <w:right w:val="single" w:color="auto" w:sz="4" w:space="0"/>
            </w:tcBorders>
            <w:noWrap w:val="0"/>
            <w:vAlign w:val="center"/>
          </w:tcPr>
          <w:p>
            <w:pPr>
              <w:spacing w:line="500" w:lineRule="exac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省控</w:t>
            </w:r>
          </w:p>
        </w:tc>
        <w:tc>
          <w:tcPr>
            <w:tcW w:w="2123" w:type="dxa"/>
            <w:tcBorders>
              <w:top w:val="single" w:color="auto" w:sz="4" w:space="0"/>
              <w:left w:val="single" w:color="auto" w:sz="4" w:space="0"/>
              <w:bottom w:val="single" w:color="auto" w:sz="4" w:space="0"/>
              <w:right w:val="single" w:color="auto" w:sz="4" w:space="0"/>
            </w:tcBorders>
            <w:noWrap w:val="0"/>
            <w:vAlign w:val="top"/>
          </w:tcPr>
          <w:p>
            <w:pPr>
              <w:widowControl/>
              <w:spacing w:line="500" w:lineRule="exact"/>
              <w:rPr>
                <w:rFonts w:hint="eastAsia" w:ascii="宋体" w:hAnsi="宋体" w:eastAsia="宋体" w:cs="宋体"/>
                <w:b/>
                <w:color w:val="000000"/>
                <w:kern w:val="0"/>
                <w:szCs w:val="21"/>
                <w:lang w:bidi="ar"/>
              </w:rPr>
            </w:pPr>
            <w:r>
              <w:rPr>
                <w:rFonts w:hint="eastAsia" w:ascii="宋体" w:hAnsi="宋体" w:eastAsia="宋体" w:cs="宋体"/>
                <w:color w:val="000000"/>
                <w:kern w:val="0"/>
                <w:szCs w:val="21"/>
                <w:lang w:bidi="ar"/>
              </w:rPr>
              <w:t>危废产生单位</w:t>
            </w:r>
          </w:p>
        </w:tc>
        <w:tc>
          <w:tcPr>
            <w:tcW w:w="1067" w:type="dxa"/>
            <w:tcBorders>
              <w:top w:val="single" w:color="auto" w:sz="4" w:space="0"/>
              <w:left w:val="single" w:color="auto" w:sz="4" w:space="0"/>
              <w:bottom w:val="single" w:color="auto" w:sz="4" w:space="0"/>
              <w:right w:val="single" w:color="auto" w:sz="4" w:space="0"/>
            </w:tcBorders>
            <w:noWrap w:val="0"/>
            <w:vAlign w:val="center"/>
          </w:tcPr>
          <w:p>
            <w:pPr>
              <w:widowControl/>
              <w:spacing w:line="500" w:lineRule="exact"/>
              <w:rPr>
                <w:rFonts w:hint="eastAsia" w:ascii="宋体" w:hAnsi="宋体" w:eastAsia="宋体" w:cs="宋体"/>
                <w:color w:val="000000"/>
                <w:kern w:val="0"/>
                <w:szCs w:val="21"/>
                <w:lang w:bidi="ar"/>
              </w:rPr>
            </w:pPr>
          </w:p>
        </w:tc>
      </w:tr>
    </w:tbl>
    <w:p>
      <w:pPr>
        <w:spacing w:line="460" w:lineRule="exact"/>
        <w:ind w:right="102"/>
        <w:rPr>
          <w:rFonts w:hint="eastAsia" w:ascii="宋体" w:hAnsi="宋体" w:cs="宋体"/>
          <w:b/>
          <w:color w:val="000000"/>
          <w:kern w:val="0"/>
          <w:sz w:val="30"/>
          <w:szCs w:val="30"/>
        </w:rPr>
      </w:pPr>
      <w:r>
        <w:rPr>
          <w:rFonts w:hint="eastAsia" w:ascii="宋体" w:hAnsi="宋体" w:cs="宋体"/>
          <w:b/>
          <w:color w:val="000000"/>
          <w:sz w:val="30"/>
          <w:szCs w:val="30"/>
          <w:lang w:bidi="ar"/>
        </w:rPr>
        <w:t xml:space="preserve"> </w:t>
      </w:r>
    </w:p>
    <w:p>
      <w:pPr>
        <w:snapToGrid w:val="0"/>
        <w:spacing w:line="460" w:lineRule="exact"/>
        <w:ind w:firstLine="472" w:firstLineChars="200"/>
        <w:rPr>
          <w:rFonts w:hint="eastAsia" w:ascii="仿宋_GB2312" w:hAnsi="楷体" w:eastAsia="仿宋_GB2312" w:cs="宋体"/>
          <w:snapToGrid w:val="0"/>
          <w:color w:val="000000"/>
          <w:spacing w:val="-2"/>
          <w:kern w:val="0"/>
          <w:sz w:val="24"/>
          <w:lang w:bidi="ar"/>
        </w:rPr>
      </w:pPr>
      <w:r>
        <w:rPr>
          <w:rFonts w:hint="eastAsia" w:ascii="仿宋_GB2312" w:hAnsi="楷体" w:eastAsia="仿宋_GB2312" w:cs="宋体"/>
          <w:snapToGrid w:val="0"/>
          <w:color w:val="000000"/>
          <w:spacing w:val="-2"/>
          <w:kern w:val="0"/>
          <w:sz w:val="24"/>
          <w:lang w:bidi="ar"/>
        </w:rPr>
        <w:t xml:space="preserve">  </w:t>
      </w:r>
    </w:p>
    <w:p>
      <w:pPr>
        <w:snapToGrid w:val="0"/>
        <w:spacing w:line="460" w:lineRule="exact"/>
        <w:ind w:firstLine="480" w:firstLineChars="200"/>
        <w:rPr>
          <w:rFonts w:hint="eastAsia" w:ascii="仿宋_GB2312" w:hAnsi="楷体" w:eastAsia="仿宋_GB2312" w:cs="宋体"/>
          <w:snapToGrid w:val="0"/>
          <w:color w:val="000000"/>
          <w:kern w:val="0"/>
          <w:sz w:val="24"/>
          <w:lang w:bidi="ar"/>
        </w:rPr>
      </w:pPr>
    </w:p>
    <w:p>
      <w:pPr>
        <w:snapToGrid w:val="0"/>
        <w:spacing w:line="460" w:lineRule="exact"/>
        <w:ind w:firstLine="480" w:firstLineChars="200"/>
        <w:rPr>
          <w:rFonts w:hint="eastAsia" w:ascii="仿宋_GB2312" w:hAnsi="楷体" w:eastAsia="仿宋_GB2312" w:cs="宋体"/>
          <w:snapToGrid w:val="0"/>
          <w:color w:val="000000"/>
          <w:kern w:val="0"/>
          <w:sz w:val="24"/>
          <w:lang w:bidi="ar"/>
        </w:rPr>
      </w:pPr>
    </w:p>
    <w:p>
      <w:pPr>
        <w:snapToGrid w:val="0"/>
        <w:spacing w:line="460" w:lineRule="exact"/>
        <w:ind w:firstLine="472" w:firstLineChars="200"/>
        <w:rPr>
          <w:rFonts w:hint="eastAsia" w:ascii="仿宋_GB2312" w:hAnsi="楷体" w:eastAsia="仿宋_GB2312" w:cs="宋体"/>
          <w:color w:val="000000"/>
          <w:spacing w:val="-2"/>
          <w:kern w:val="0"/>
          <w:sz w:val="24"/>
          <w:lang w:bidi="ar"/>
        </w:rPr>
      </w:pPr>
    </w:p>
    <w:p>
      <w:pPr>
        <w:snapToGrid w:val="0"/>
        <w:spacing w:line="460" w:lineRule="exact"/>
        <w:ind w:firstLine="472" w:firstLineChars="200"/>
        <w:rPr>
          <w:rFonts w:hint="eastAsia" w:ascii="仿宋_GB2312" w:hAnsi="楷体" w:eastAsia="仿宋_GB2312" w:cs="宋体"/>
          <w:color w:val="000000"/>
          <w:spacing w:val="-2"/>
          <w:kern w:val="0"/>
          <w:sz w:val="24"/>
          <w:lang w:bidi="ar"/>
        </w:rPr>
      </w:pPr>
    </w:p>
    <w:p>
      <w:pPr>
        <w:snapToGrid w:val="0"/>
        <w:spacing w:line="460" w:lineRule="exact"/>
        <w:ind w:firstLine="472" w:firstLineChars="200"/>
        <w:rPr>
          <w:rFonts w:hint="eastAsia" w:ascii="仿宋_GB2312" w:hAnsi="楷体" w:eastAsia="仿宋_GB2312" w:cs="宋体"/>
          <w:color w:val="000000"/>
          <w:spacing w:val="-2"/>
          <w:kern w:val="0"/>
          <w:sz w:val="24"/>
          <w:lang w:bidi="ar"/>
        </w:rPr>
      </w:pPr>
    </w:p>
    <w:p>
      <w:pPr>
        <w:snapToGrid w:val="0"/>
        <w:spacing w:line="460" w:lineRule="exact"/>
        <w:ind w:firstLine="472" w:firstLineChars="200"/>
        <w:rPr>
          <w:rFonts w:hint="eastAsia" w:ascii="仿宋_GB2312" w:hAnsi="楷体" w:eastAsia="仿宋_GB2312" w:cs="宋体"/>
          <w:color w:val="000000"/>
          <w:spacing w:val="-2"/>
          <w:kern w:val="0"/>
          <w:sz w:val="24"/>
          <w:lang w:bidi="ar"/>
        </w:rPr>
      </w:pPr>
    </w:p>
    <w:p>
      <w:pPr>
        <w:snapToGrid w:val="0"/>
        <w:spacing w:line="460" w:lineRule="exact"/>
        <w:ind w:firstLine="472" w:firstLineChars="200"/>
        <w:rPr>
          <w:rFonts w:hint="eastAsia" w:ascii="仿宋_GB2312" w:hAnsi="楷体" w:eastAsia="仿宋_GB2312" w:cs="宋体"/>
          <w:color w:val="000000"/>
          <w:spacing w:val="-2"/>
          <w:kern w:val="0"/>
          <w:sz w:val="24"/>
        </w:rPr>
      </w:pPr>
    </w:p>
    <w:p>
      <w:pPr>
        <w:snapToGrid w:val="0"/>
        <w:spacing w:line="460" w:lineRule="exact"/>
        <w:ind w:firstLine="472" w:firstLineChars="200"/>
        <w:rPr>
          <w:rFonts w:hint="eastAsia" w:ascii="仿宋_GB2312" w:hAnsi="楷体" w:eastAsia="仿宋_GB2312" w:cs="宋体"/>
          <w:color w:val="000000"/>
          <w:spacing w:val="-2"/>
          <w:kern w:val="0"/>
          <w:sz w:val="24"/>
        </w:rPr>
      </w:pPr>
    </w:p>
    <w:p>
      <w:pPr>
        <w:snapToGrid w:val="0"/>
        <w:spacing w:line="460" w:lineRule="exact"/>
        <w:ind w:firstLine="472" w:firstLineChars="200"/>
        <w:rPr>
          <w:rFonts w:hint="eastAsia" w:ascii="仿宋_GB2312" w:hAnsi="楷体" w:eastAsia="仿宋_GB2312" w:cs="宋体"/>
          <w:snapToGrid w:val="0"/>
          <w:color w:val="000000"/>
          <w:spacing w:val="-2"/>
          <w:kern w:val="0"/>
          <w:sz w:val="24"/>
          <w:lang w:bidi="ar"/>
        </w:rPr>
      </w:pPr>
    </w:p>
    <w:p>
      <w:pPr>
        <w:snapToGrid w:val="0"/>
        <w:spacing w:line="460" w:lineRule="exact"/>
        <w:ind w:firstLine="472" w:firstLineChars="200"/>
        <w:rPr>
          <w:rFonts w:hint="eastAsia" w:ascii="仿宋_GB2312" w:hAnsi="楷体" w:eastAsia="仿宋_GB2312" w:cs="宋体"/>
          <w:snapToGrid w:val="0"/>
          <w:color w:val="000000"/>
          <w:spacing w:val="-2"/>
          <w:kern w:val="0"/>
          <w:sz w:val="24"/>
          <w:lang w:bidi="ar"/>
        </w:rPr>
        <w:sectPr>
          <w:pgSz w:w="11906" w:h="16838"/>
          <w:pgMar w:top="1440" w:right="1800" w:bottom="1440" w:left="1800" w:header="851" w:footer="992" w:gutter="0"/>
          <w:pgNumType w:fmt="numberInDash"/>
          <w:cols w:space="720" w:num="1"/>
          <w:docGrid w:type="lines" w:linePitch="312" w:charSpace="0"/>
        </w:sectPr>
      </w:pPr>
    </w:p>
    <w:p>
      <w:pPr>
        <w:widowControl/>
        <w:adjustRightInd w:val="0"/>
        <w:snapToGrid w:val="0"/>
        <w:spacing w:line="600" w:lineRule="exact"/>
        <w:rPr>
          <w:rFonts w:hint="eastAsia" w:ascii="黑体" w:hAnsi="黑体" w:eastAsia="黑体" w:cs="华文中宋"/>
          <w:snapToGrid w:val="0"/>
          <w:color w:val="000000"/>
          <w:kern w:val="0"/>
          <w:sz w:val="32"/>
          <w:szCs w:val="32"/>
          <w:lang w:bidi="ar"/>
        </w:rPr>
      </w:pPr>
      <w:r>
        <w:rPr>
          <w:rFonts w:hint="eastAsia" w:ascii="黑体" w:hAnsi="黑体" w:eastAsia="黑体" w:cs="华文中宋"/>
          <w:snapToGrid w:val="0"/>
          <w:color w:val="000000"/>
          <w:kern w:val="0"/>
          <w:sz w:val="32"/>
          <w:szCs w:val="32"/>
          <w:lang w:bidi="ar"/>
        </w:rPr>
        <w:t>附件2</w:t>
      </w:r>
    </w:p>
    <w:p>
      <w:pPr>
        <w:widowControl/>
        <w:adjustRightInd w:val="0"/>
        <w:snapToGrid w:val="0"/>
        <w:spacing w:line="600" w:lineRule="exact"/>
        <w:jc w:val="center"/>
        <w:rPr>
          <w:color w:val="000000"/>
          <w:kern w:val="0"/>
          <w:sz w:val="36"/>
          <w:szCs w:val="36"/>
        </w:rPr>
      </w:pPr>
      <w:r>
        <w:rPr>
          <w:rFonts w:ascii="方正小标宋简体" w:eastAsia="方正小标宋简体" w:cs="华文中宋"/>
          <w:b/>
          <w:snapToGrid w:val="0"/>
          <w:color w:val="000000"/>
          <w:kern w:val="0"/>
          <w:sz w:val="44"/>
          <w:szCs w:val="44"/>
          <w:lang w:bidi="ar"/>
        </w:rPr>
        <w:t>工业危险废物产生单位规范化管理指标及抽查表</w:t>
      </w:r>
    </w:p>
    <w:p>
      <w:pPr>
        <w:widowControl/>
        <w:spacing w:line="600" w:lineRule="exact"/>
        <w:rPr>
          <w:color w:val="000000"/>
          <w:kern w:val="0"/>
          <w:sz w:val="32"/>
          <w:szCs w:val="32"/>
        </w:rPr>
      </w:pPr>
      <w:r>
        <w:rPr>
          <w:color w:val="000000"/>
          <w:kern w:val="0"/>
          <w:sz w:val="32"/>
          <w:szCs w:val="32"/>
        </w:rPr>
        <w:t xml:space="preserve"> </w:t>
      </w:r>
    </w:p>
    <w:p>
      <w:pPr>
        <w:widowControl/>
        <w:snapToGrid w:val="0"/>
        <w:spacing w:line="600" w:lineRule="exact"/>
        <w:rPr>
          <w:rFonts w:ascii="仿宋_GB2312" w:eastAsia="仿宋_GB2312"/>
          <w:color w:val="000000"/>
          <w:kern w:val="0"/>
          <w:sz w:val="30"/>
          <w:szCs w:val="30"/>
        </w:rPr>
      </w:pPr>
      <w:r>
        <w:rPr>
          <w:rFonts w:hint="eastAsia" w:ascii="仿宋_GB2312" w:eastAsia="仿宋_GB2312"/>
          <w:color w:val="000000"/>
          <w:spacing w:val="33"/>
          <w:kern w:val="0"/>
          <w:sz w:val="30"/>
          <w:szCs w:val="30"/>
        </w:rPr>
        <w:t>单位名</w:t>
      </w:r>
      <w:r>
        <w:rPr>
          <w:rFonts w:hint="eastAsia" w:ascii="仿宋_GB2312" w:eastAsia="仿宋_GB2312"/>
          <w:color w:val="000000"/>
          <w:spacing w:val="1"/>
          <w:kern w:val="0"/>
          <w:sz w:val="30"/>
          <w:szCs w:val="30"/>
        </w:rPr>
        <w:t>称</w:t>
      </w:r>
      <w:r>
        <w:rPr>
          <w:rFonts w:hint="eastAsia" w:ascii="仿宋_GB2312" w:eastAsia="仿宋_GB2312"/>
          <w:color w:val="000000"/>
          <w:kern w:val="0"/>
          <w:sz w:val="30"/>
          <w:szCs w:val="30"/>
        </w:rPr>
        <w:t>：</w:t>
      </w:r>
    </w:p>
    <w:p>
      <w:pPr>
        <w:widowControl/>
        <w:snapToGrid w:val="0"/>
        <w:spacing w:line="600" w:lineRule="exact"/>
        <w:rPr>
          <w:rFonts w:hint="eastAsia" w:ascii="宋体" w:hAnsi="宋体"/>
          <w:color w:val="000000"/>
          <w:kern w:val="0"/>
          <w:sz w:val="30"/>
          <w:szCs w:val="30"/>
        </w:rPr>
      </w:pPr>
      <w:r>
        <w:rPr>
          <w:rFonts w:hint="eastAsia" w:ascii="仿宋_GB2312" w:eastAsia="仿宋_GB2312"/>
          <w:color w:val="000000"/>
          <w:spacing w:val="33"/>
          <w:kern w:val="0"/>
          <w:sz w:val="30"/>
          <w:szCs w:val="30"/>
        </w:rPr>
        <w:t>单位地</w:t>
      </w:r>
      <w:r>
        <w:rPr>
          <w:rFonts w:hint="eastAsia" w:ascii="仿宋_GB2312" w:eastAsia="仿宋_GB2312"/>
          <w:color w:val="000000"/>
          <w:spacing w:val="1"/>
          <w:kern w:val="0"/>
          <w:sz w:val="30"/>
          <w:szCs w:val="30"/>
        </w:rPr>
        <w:t>址</w:t>
      </w:r>
      <w:r>
        <w:rPr>
          <w:rFonts w:hint="eastAsia" w:ascii="仿宋_GB2312" w:eastAsia="仿宋_GB2312"/>
          <w:color w:val="000000"/>
          <w:kern w:val="0"/>
          <w:sz w:val="30"/>
          <w:szCs w:val="30"/>
        </w:rPr>
        <w:t>：</w:t>
      </w:r>
    </w:p>
    <w:p>
      <w:pPr>
        <w:widowControl/>
        <w:snapToGrid w:val="0"/>
        <w:spacing w:line="600" w:lineRule="exact"/>
        <w:rPr>
          <w:rFonts w:hint="eastAsia"/>
          <w:color w:val="000000"/>
          <w:kern w:val="0"/>
          <w:sz w:val="30"/>
          <w:szCs w:val="30"/>
        </w:rPr>
      </w:pPr>
      <w:r>
        <w:rPr>
          <w:rFonts w:hint="eastAsia" w:ascii="仿宋_GB2312" w:eastAsia="仿宋_GB2312"/>
          <w:color w:val="000000"/>
          <w:kern w:val="0"/>
          <w:sz w:val="30"/>
          <w:szCs w:val="30"/>
        </w:rPr>
        <w:t>法定代表人：                       环保负责人：</w:t>
      </w:r>
    </w:p>
    <w:p>
      <w:pPr>
        <w:widowControl/>
        <w:snapToGrid w:val="0"/>
        <w:spacing w:line="600" w:lineRule="exact"/>
        <w:rPr>
          <w:rFonts w:ascii="仿宋_GB2312" w:eastAsia="仿宋_GB2312"/>
          <w:color w:val="000000"/>
          <w:kern w:val="0"/>
          <w:sz w:val="30"/>
          <w:szCs w:val="30"/>
        </w:rPr>
      </w:pPr>
      <w:r>
        <w:rPr>
          <w:rFonts w:hint="eastAsia" w:ascii="仿宋_GB2312" w:eastAsia="仿宋_GB2312"/>
          <w:color w:val="000000"/>
          <w:spacing w:val="33"/>
          <w:kern w:val="0"/>
          <w:sz w:val="30"/>
          <w:szCs w:val="30"/>
        </w:rPr>
        <w:t>检查时</w:t>
      </w:r>
      <w:r>
        <w:rPr>
          <w:rFonts w:hint="eastAsia" w:ascii="仿宋_GB2312" w:eastAsia="仿宋_GB2312"/>
          <w:color w:val="000000"/>
          <w:spacing w:val="1"/>
          <w:kern w:val="0"/>
          <w:sz w:val="30"/>
          <w:szCs w:val="30"/>
        </w:rPr>
        <w:t>间</w:t>
      </w:r>
      <w:r>
        <w:rPr>
          <w:rFonts w:hint="eastAsia" w:ascii="仿宋_GB2312" w:eastAsia="仿宋_GB2312"/>
          <w:color w:val="000000"/>
          <w:kern w:val="0"/>
          <w:sz w:val="30"/>
          <w:szCs w:val="30"/>
        </w:rPr>
        <w:t>：    年   月   日   时至   时</w:t>
      </w:r>
    </w:p>
    <w:p>
      <w:pPr>
        <w:widowControl/>
        <w:snapToGrid w:val="0"/>
        <w:spacing w:line="600" w:lineRule="exact"/>
        <w:rPr>
          <w:rFonts w:hint="eastAsia" w:ascii="仿宋_GB2312" w:eastAsia="仿宋_GB2312"/>
          <w:color w:val="000000"/>
          <w:kern w:val="0"/>
          <w:sz w:val="30"/>
          <w:szCs w:val="30"/>
        </w:rPr>
      </w:pPr>
      <w:r>
        <w:rPr>
          <w:rFonts w:hint="eastAsia" w:ascii="仿宋_GB2312" w:eastAsia="仿宋_GB2312"/>
          <w:color w:val="000000"/>
          <w:spacing w:val="33"/>
          <w:kern w:val="0"/>
          <w:sz w:val="30"/>
          <w:szCs w:val="30"/>
        </w:rPr>
        <w:t>检查人</w:t>
      </w:r>
      <w:r>
        <w:rPr>
          <w:rFonts w:hint="eastAsia" w:ascii="仿宋_GB2312" w:eastAsia="仿宋_GB2312"/>
          <w:color w:val="000000"/>
          <w:spacing w:val="1"/>
          <w:kern w:val="0"/>
          <w:sz w:val="30"/>
          <w:szCs w:val="30"/>
        </w:rPr>
        <w:t>员</w:t>
      </w:r>
      <w:r>
        <w:rPr>
          <w:rFonts w:hint="eastAsia" w:ascii="仿宋_GB2312" w:eastAsia="仿宋_GB2312"/>
          <w:color w:val="000000"/>
          <w:kern w:val="0"/>
          <w:sz w:val="30"/>
          <w:szCs w:val="30"/>
        </w:rPr>
        <w:t xml:space="preserve">： </w:t>
      </w:r>
      <w:r>
        <w:rPr>
          <w:rFonts w:hint="eastAsia" w:ascii="仿宋_GB2312" w:eastAsia="仿宋_GB2312"/>
          <w:color w:val="000000"/>
          <w:kern w:val="0"/>
          <w:sz w:val="30"/>
          <w:szCs w:val="30"/>
        </w:rPr>
        <w:tab/>
      </w:r>
      <w:r>
        <w:rPr>
          <w:rFonts w:hint="eastAsia" w:ascii="仿宋_GB2312" w:eastAsia="仿宋_GB2312"/>
          <w:color w:val="000000"/>
          <w:kern w:val="0"/>
          <w:sz w:val="30"/>
          <w:szCs w:val="30"/>
        </w:rPr>
        <w:t xml:space="preserve">姓名：          单位：                  </w:t>
      </w:r>
      <w:r>
        <w:rPr>
          <w:color w:val="000000"/>
          <w:kern w:val="0"/>
          <w:sz w:val="30"/>
          <w:szCs w:val="30"/>
        </w:rPr>
        <w:t xml:space="preserve"> </w:t>
      </w:r>
      <w:r>
        <w:rPr>
          <w:rFonts w:hint="eastAsia" w:ascii="仿宋_GB2312" w:eastAsia="仿宋_GB2312"/>
          <w:color w:val="000000"/>
          <w:kern w:val="0"/>
          <w:sz w:val="30"/>
          <w:szCs w:val="30"/>
        </w:rPr>
        <w:t xml:space="preserve">   环境监察执法证件号：</w:t>
      </w:r>
    </w:p>
    <w:p>
      <w:pPr>
        <w:widowControl/>
        <w:snapToGrid w:val="0"/>
        <w:spacing w:line="600" w:lineRule="exact"/>
        <w:rPr>
          <w:rFonts w:hint="eastAsia" w:ascii="宋体" w:hAnsi="宋体"/>
          <w:color w:val="000000"/>
          <w:kern w:val="0"/>
          <w:sz w:val="30"/>
          <w:szCs w:val="30"/>
        </w:rPr>
      </w:pPr>
      <w:r>
        <w:rPr>
          <w:rFonts w:hint="eastAsia" w:ascii="仿宋_GB2312" w:eastAsia="仿宋_GB2312"/>
          <w:color w:val="000000"/>
          <w:kern w:val="0"/>
          <w:sz w:val="30"/>
          <w:szCs w:val="30"/>
        </w:rPr>
        <w:t xml:space="preserve">             </w:t>
      </w:r>
      <w:r>
        <w:rPr>
          <w:rFonts w:hint="eastAsia" w:ascii="仿宋_GB2312" w:eastAsia="仿宋_GB2312"/>
          <w:color w:val="000000"/>
          <w:kern w:val="0"/>
          <w:sz w:val="30"/>
          <w:szCs w:val="30"/>
        </w:rPr>
        <w:tab/>
      </w:r>
      <w:r>
        <w:rPr>
          <w:rFonts w:hint="eastAsia" w:ascii="仿宋_GB2312" w:eastAsia="仿宋_GB2312"/>
          <w:color w:val="000000"/>
          <w:kern w:val="0"/>
          <w:sz w:val="30"/>
          <w:szCs w:val="30"/>
        </w:rPr>
        <w:t>姓名：          单位：                      环境监察执法证件号：</w:t>
      </w:r>
    </w:p>
    <w:p>
      <w:pPr>
        <w:widowControl/>
        <w:snapToGrid w:val="0"/>
        <w:spacing w:line="600" w:lineRule="exact"/>
        <w:rPr>
          <w:rFonts w:hint="eastAsia"/>
          <w:color w:val="000000"/>
          <w:kern w:val="0"/>
          <w:szCs w:val="21"/>
        </w:rPr>
      </w:pPr>
      <w:r>
        <w:rPr>
          <w:rFonts w:hint="eastAsia" w:ascii="仿宋_GB2312" w:eastAsia="仿宋_GB2312"/>
          <w:color w:val="000000"/>
          <w:kern w:val="0"/>
          <w:sz w:val="30"/>
          <w:szCs w:val="30"/>
        </w:rPr>
        <w:t xml:space="preserve">            </w:t>
      </w:r>
      <w:r>
        <w:rPr>
          <w:rFonts w:hint="eastAsia" w:ascii="仿宋_GB2312" w:eastAsia="仿宋_GB2312"/>
          <w:color w:val="000000"/>
          <w:kern w:val="0"/>
          <w:sz w:val="30"/>
          <w:szCs w:val="30"/>
        </w:rPr>
        <w:tab/>
      </w:r>
      <w:r>
        <w:rPr>
          <w:rFonts w:hint="eastAsia" w:ascii="仿宋_GB2312" w:eastAsia="仿宋_GB2312"/>
          <w:color w:val="000000"/>
          <w:kern w:val="0"/>
          <w:sz w:val="30"/>
          <w:szCs w:val="30"/>
        </w:rPr>
        <w:t>姓名：          单位：                      环境监察执法证件号：</w:t>
      </w:r>
    </w:p>
    <w:p>
      <w:pPr>
        <w:widowControl/>
        <w:snapToGrid w:val="0"/>
        <w:spacing w:line="600" w:lineRule="exact"/>
        <w:ind w:left="360" w:hanging="360"/>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注：1.检查组应当至少包括两名具有环境监察执法证件的人员，可邀请专家参与检查。 2.检查人员要填写检查记录并签字。 3.对危险废物流向、贮存、利用、处置等信息，要核查原始凭证。 4.根据评分细则给出得分。 5.备注栏可对检查情况进行简要记录。 6</w:t>
      </w:r>
      <w:r>
        <w:rPr>
          <w:rFonts w:hint="eastAsia" w:ascii="仿宋_GB2312" w:eastAsia="仿宋_GB2312"/>
          <w:color w:val="000000"/>
          <w:kern w:val="0"/>
          <w:sz w:val="24"/>
          <w:szCs w:val="24"/>
        </w:rPr>
        <w:t>.</w:t>
      </w:r>
      <w:r>
        <w:rPr>
          <w:rFonts w:hint="eastAsia" w:ascii="仿宋_GB2312" w:hAnsi="宋体" w:eastAsia="仿宋_GB2312"/>
          <w:color w:val="000000"/>
          <w:kern w:val="0"/>
          <w:sz w:val="24"/>
          <w:szCs w:val="24"/>
        </w:rPr>
        <w:t>检查的主要内容不适用的，计为0分，并将该项分值从满分中扣除后，按比例换算达标、基本达标、不达标界值。</w:t>
      </w:r>
    </w:p>
    <w:p>
      <w:pPr>
        <w:widowControl/>
        <w:snapToGrid w:val="0"/>
        <w:spacing w:line="600" w:lineRule="exact"/>
        <w:ind w:left="360" w:hanging="360"/>
        <w:rPr>
          <w:rFonts w:hint="eastAsia" w:ascii="仿宋_GB2312" w:hAnsi="宋体" w:eastAsia="仿宋_GB2312"/>
          <w:color w:val="000000"/>
          <w:kern w:val="0"/>
          <w:sz w:val="24"/>
          <w:szCs w:val="24"/>
        </w:rPr>
      </w:pPr>
    </w:p>
    <w:tbl>
      <w:tblPr>
        <w:tblStyle w:val="4"/>
        <w:tblpPr w:leftFromText="180" w:rightFromText="180" w:vertAnchor="text" w:horzAnchor="margin" w:tblpY="166"/>
        <w:tblW w:w="0" w:type="auto"/>
        <w:tblInd w:w="0" w:type="dxa"/>
        <w:tblLayout w:type="fixed"/>
        <w:tblCellMar>
          <w:top w:w="0" w:type="dxa"/>
          <w:left w:w="108" w:type="dxa"/>
          <w:bottom w:w="0" w:type="dxa"/>
          <w:right w:w="108" w:type="dxa"/>
        </w:tblCellMar>
      </w:tblPr>
      <w:tblGrid>
        <w:gridCol w:w="1384"/>
        <w:gridCol w:w="1707"/>
        <w:gridCol w:w="709"/>
        <w:gridCol w:w="561"/>
        <w:gridCol w:w="2132"/>
        <w:gridCol w:w="5246"/>
        <w:gridCol w:w="1422"/>
        <w:gridCol w:w="696"/>
      </w:tblGrid>
      <w:tr>
        <w:tblPrEx>
          <w:tblCellMar>
            <w:top w:w="0" w:type="dxa"/>
            <w:left w:w="108" w:type="dxa"/>
            <w:bottom w:w="0" w:type="dxa"/>
            <w:right w:w="108" w:type="dxa"/>
          </w:tblCellMar>
        </w:tblPrEx>
        <w:trPr>
          <w:trHeight w:val="322" w:hRule="atLeast"/>
        </w:trPr>
        <w:tc>
          <w:tcPr>
            <w:tcW w:w="1384"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黑体" w:eastAsia="仿宋_GB2312"/>
                <w:b/>
                <w:bCs/>
                <w:color w:val="000000"/>
                <w:kern w:val="0"/>
                <w:sz w:val="24"/>
                <w:szCs w:val="24"/>
              </w:rPr>
              <w:t>检查项目</w:t>
            </w:r>
          </w:p>
        </w:tc>
        <w:tc>
          <w:tcPr>
            <w:tcW w:w="1707" w:type="dxa"/>
            <w:vMerge w:val="restart"/>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黑体" w:eastAsia="仿宋_GB2312"/>
                <w:b/>
                <w:bCs/>
                <w:color w:val="000000"/>
                <w:kern w:val="0"/>
                <w:sz w:val="24"/>
                <w:szCs w:val="24"/>
              </w:rPr>
              <w:t>检查主要内容</w:t>
            </w:r>
          </w:p>
        </w:tc>
        <w:tc>
          <w:tcPr>
            <w:tcW w:w="1270" w:type="dxa"/>
            <w:gridSpan w:val="2"/>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黑体" w:eastAsia="仿宋_GB2312"/>
                <w:b/>
                <w:bCs/>
                <w:color w:val="000000"/>
                <w:kern w:val="0"/>
                <w:sz w:val="24"/>
                <w:szCs w:val="24"/>
              </w:rPr>
              <w:t>分数</w:t>
            </w:r>
          </w:p>
        </w:tc>
        <w:tc>
          <w:tcPr>
            <w:tcW w:w="2132" w:type="dxa"/>
            <w:vMerge w:val="restart"/>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黑体" w:eastAsia="仿宋_GB2312"/>
                <w:b/>
                <w:bCs/>
                <w:color w:val="000000"/>
                <w:kern w:val="0"/>
                <w:sz w:val="24"/>
                <w:szCs w:val="24"/>
              </w:rPr>
              <w:t>达标标准</w:t>
            </w:r>
          </w:p>
        </w:tc>
        <w:tc>
          <w:tcPr>
            <w:tcW w:w="5246" w:type="dxa"/>
            <w:vMerge w:val="restart"/>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黑体" w:eastAsia="仿宋_GB2312"/>
                <w:b/>
                <w:bCs/>
                <w:color w:val="000000"/>
                <w:kern w:val="0"/>
                <w:sz w:val="24"/>
                <w:szCs w:val="24"/>
              </w:rPr>
              <w:t>评分细则</w:t>
            </w:r>
          </w:p>
        </w:tc>
        <w:tc>
          <w:tcPr>
            <w:tcW w:w="1422" w:type="dxa"/>
            <w:vMerge w:val="restart"/>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黑体" w:eastAsia="仿宋_GB2312"/>
                <w:b/>
                <w:bCs/>
                <w:color w:val="000000"/>
                <w:kern w:val="0"/>
                <w:sz w:val="24"/>
                <w:szCs w:val="24"/>
              </w:rPr>
              <w:t>检查方法</w:t>
            </w:r>
          </w:p>
        </w:tc>
        <w:tc>
          <w:tcPr>
            <w:tcW w:w="696" w:type="dxa"/>
            <w:vMerge w:val="restart"/>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黑体" w:eastAsia="仿宋_GB2312"/>
                <w:b/>
                <w:bCs/>
                <w:color w:val="000000"/>
                <w:kern w:val="0"/>
                <w:sz w:val="24"/>
                <w:szCs w:val="24"/>
              </w:rPr>
              <w:t>备注</w:t>
            </w:r>
          </w:p>
        </w:tc>
      </w:tr>
      <w:tr>
        <w:tblPrEx>
          <w:tblCellMar>
            <w:top w:w="0" w:type="dxa"/>
            <w:left w:w="108" w:type="dxa"/>
            <w:bottom w:w="0" w:type="dxa"/>
            <w:right w:w="108" w:type="dxa"/>
          </w:tblCellMar>
        </w:tblPrEx>
        <w:trPr>
          <w:trHeight w:val="258" w:hRule="atLeast"/>
        </w:trPr>
        <w:tc>
          <w:tcPr>
            <w:tcW w:w="1384"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p>
        </w:tc>
        <w:tc>
          <w:tcPr>
            <w:tcW w:w="1707" w:type="dxa"/>
            <w:vMerge w:val="continue"/>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黑体" w:eastAsia="仿宋_GB2312"/>
                <w:b/>
                <w:bCs/>
                <w:color w:val="000000"/>
                <w:kern w:val="0"/>
                <w:sz w:val="24"/>
                <w:szCs w:val="24"/>
              </w:rPr>
              <w:t>满分</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黑体" w:eastAsia="仿宋_GB2312"/>
                <w:b/>
                <w:bCs/>
                <w:color w:val="000000"/>
                <w:kern w:val="0"/>
                <w:sz w:val="24"/>
                <w:szCs w:val="24"/>
              </w:rPr>
              <w:t>得分</w:t>
            </w:r>
          </w:p>
        </w:tc>
        <w:tc>
          <w:tcPr>
            <w:tcW w:w="2132" w:type="dxa"/>
            <w:vMerge w:val="continue"/>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p>
        </w:tc>
        <w:tc>
          <w:tcPr>
            <w:tcW w:w="5246" w:type="dxa"/>
            <w:vMerge w:val="continue"/>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p>
        </w:tc>
        <w:tc>
          <w:tcPr>
            <w:tcW w:w="1422" w:type="dxa"/>
            <w:vMerge w:val="continue"/>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p>
        </w:tc>
        <w:tc>
          <w:tcPr>
            <w:tcW w:w="696" w:type="dxa"/>
            <w:vMerge w:val="continue"/>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p>
        </w:tc>
      </w:tr>
      <w:tr>
        <w:tblPrEx>
          <w:tblCellMar>
            <w:top w:w="0" w:type="dxa"/>
            <w:left w:w="108" w:type="dxa"/>
            <w:bottom w:w="0" w:type="dxa"/>
            <w:right w:w="108" w:type="dxa"/>
          </w:tblCellMar>
        </w:tblPrEx>
        <w:trPr>
          <w:trHeight w:val="3184" w:hRule="atLeast"/>
        </w:trPr>
        <w:tc>
          <w:tcPr>
            <w:tcW w:w="1384" w:type="dxa"/>
            <w:vMerge w:val="restart"/>
            <w:tcBorders>
              <w:top w:val="nil"/>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一、污染环境防治责任制度（《固体废物污染环境防治法》，以下简称《固体法》，第三十条）</w:t>
            </w:r>
          </w:p>
        </w:tc>
        <w:tc>
          <w:tcPr>
            <w:tcW w:w="1707" w:type="dxa"/>
            <w:vMerge w:val="restart"/>
            <w:tcBorders>
              <w:top w:val="nil"/>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产生工业固体废物的单位应当建立、健全污染环境防治责任制度，采取防治工业固体废物污染环境的措施。</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黑体"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建立了责任制度，负责人明确，责任清晰；负责人熟悉危险废物管理相关法规、制度、标准、规范；制定的制度得到落实，采取了防治工业固体废物污染环境的措施。</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建立了责任制度，负责人明确，责任清晰；负责人熟悉危险废物管理相关法规、制度、标准、规范；制定的制度得到落实；采取了防治工业固体废物污染环境的措施。得2分。</w:t>
            </w:r>
          </w:p>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2.未建立责任制度，但负责人熟悉危险废物管理有关制度和本单位的危险废物管理情况，且采取了防治工业固体废物污染环境的措施。得1分。</w:t>
            </w: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3</w:t>
            </w:r>
            <w:r>
              <w:rPr>
                <w:rFonts w:hint="eastAsia" w:ascii="仿宋_GB2312" w:eastAsia="仿宋_GB2312"/>
                <w:color w:val="000000"/>
                <w:kern w:val="0"/>
                <w:sz w:val="24"/>
                <w:szCs w:val="24"/>
              </w:rPr>
              <w:t>.</w:t>
            </w:r>
            <w:r>
              <w:rPr>
                <w:rFonts w:hint="eastAsia" w:ascii="仿宋_GB2312" w:hAnsi="宋体" w:eastAsia="仿宋_GB2312"/>
                <w:color w:val="000000"/>
                <w:kern w:val="0"/>
                <w:sz w:val="24"/>
                <w:szCs w:val="24"/>
              </w:rPr>
              <w:t>负责人不熟悉危险废物管理有关制度、不熟悉本单位危险废物管理情况，或制定的制度未得到落实，环境管理职责不明确，或未采取防治工业固体废物污染环境的措施、现场管理混乱。得0分。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资料检查（查看相关管理制度）、现场询问、现场核查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993" w:hRule="atLeast"/>
        </w:trPr>
        <w:tc>
          <w:tcPr>
            <w:tcW w:w="1384" w:type="dxa"/>
            <w:vMerge w:val="continue"/>
            <w:tcBorders>
              <w:top w:val="nil"/>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1707" w:type="dxa"/>
            <w:vMerge w:val="continue"/>
            <w:tcBorders>
              <w:top w:val="nil"/>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黑体"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执行危险废物污染防治责任信息公开制度，在显著位置张贴危险废物防治责任信息。</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在适当场所的显著位置张贴危险废物污染防治责任信息，且张贴信息能够表明危险废物产生环节、危险特性、去向及责任人等。得1分。</w:t>
            </w: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2</w:t>
            </w:r>
            <w:r>
              <w:rPr>
                <w:rFonts w:hint="eastAsia" w:ascii="仿宋_GB2312" w:eastAsia="仿宋_GB2312"/>
                <w:color w:val="000000"/>
                <w:kern w:val="0"/>
                <w:sz w:val="24"/>
                <w:szCs w:val="24"/>
              </w:rPr>
              <w:t>.</w:t>
            </w:r>
            <w:r>
              <w:rPr>
                <w:rFonts w:hint="eastAsia" w:ascii="仿宋_GB2312" w:hAnsi="宋体" w:eastAsia="仿宋_GB2312"/>
                <w:color w:val="000000"/>
                <w:kern w:val="0"/>
                <w:sz w:val="24"/>
                <w:szCs w:val="24"/>
              </w:rPr>
              <w:t>未张贴危险废物污染防治责任信息，或张贴场所位置不明显，张贴信息未能明确表明危险废物产生环节、危险特性、去向或责任人。得0分。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现场核查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793" w:hRule="atLeast"/>
        </w:trPr>
        <w:tc>
          <w:tcPr>
            <w:tcW w:w="1384" w:type="dxa"/>
            <w:vMerge w:val="restart"/>
            <w:tcBorders>
              <w:top w:val="single" w:color="auto" w:sz="4" w:space="0"/>
              <w:left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二、标识制度（《固体法》第五十二条）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危险废物的容器和包装物必须设置危险废物识别标志。</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依据《危险废物贮存污染控制标准》（GB18597）附录A所示标签设置危险废物识别标志。</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设置了规范的（样式正确、内容填写完整）危险废物识别标志。得1分。</w:t>
            </w: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2</w:t>
            </w:r>
            <w:r>
              <w:rPr>
                <w:rFonts w:hint="eastAsia" w:ascii="仿宋_GB2312" w:eastAsia="仿宋_GB2312"/>
                <w:color w:val="000000"/>
                <w:kern w:val="0"/>
                <w:sz w:val="24"/>
                <w:szCs w:val="24"/>
              </w:rPr>
              <w:t>.</w:t>
            </w:r>
            <w:r>
              <w:rPr>
                <w:rFonts w:hint="eastAsia" w:ascii="仿宋_GB2312" w:hAnsi="宋体" w:eastAsia="仿宋_GB2312"/>
                <w:color w:val="000000"/>
                <w:kern w:val="0"/>
                <w:sz w:val="24"/>
                <w:szCs w:val="24"/>
              </w:rPr>
              <w:t>识别标志有1处错误。得0.5分。</w:t>
            </w: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3.未设置识别标志或识别标志样式不正确、填写内容有两处及以上错误。得0分。</w:t>
            </w:r>
          </w:p>
          <w:p>
            <w:pPr>
              <w:widowControl/>
              <w:spacing w:line="300" w:lineRule="exact"/>
              <w:rPr>
                <w:rFonts w:hint="eastAsia" w:ascii="仿宋_GB2312" w:eastAsia="仿宋_GB2312"/>
                <w:color w:val="000000"/>
                <w:kern w:val="0"/>
                <w:sz w:val="24"/>
                <w:szCs w:val="24"/>
              </w:rPr>
            </w:pP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现场核查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2417" w:hRule="atLeast"/>
        </w:trPr>
        <w:tc>
          <w:tcPr>
            <w:tcW w:w="1384" w:type="dxa"/>
            <w:vMerge w:val="continue"/>
            <w:tcBorders>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3.</w:t>
            </w:r>
            <w:r>
              <w:rPr>
                <w:rFonts w:hint="eastAsia" w:ascii="仿宋_GB2312" w:hAnsi="宋体" w:eastAsia="仿宋_GB2312"/>
                <w:color w:val="000000"/>
                <w:kern w:val="0"/>
                <w:sz w:val="24"/>
                <w:szCs w:val="24"/>
              </w:rPr>
              <w:t>收集、贮存、运输、利用、处置危险废物的设施、场所，必须设置危险废物识别标志。</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依据《危险废物贮存污染控制标准》（GB18597）附录A和《环境保护图形标志-固体废物贮存（处置）场》（GB15562.2）所示标签设置危险废物识别标志。</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在收集、贮存、运输、利用、处置危险废物的设施、场所均设置了规范（形状、颜色、图案均正确）的危险废物识别标志。得1分。</w:t>
            </w:r>
          </w:p>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2.上述危险废物环境管理的相关设施、场所识别标志有1处错误。得0.5分。</w:t>
            </w: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3</w:t>
            </w:r>
            <w:r>
              <w:rPr>
                <w:rFonts w:hint="eastAsia" w:ascii="仿宋_GB2312" w:eastAsia="仿宋_GB2312"/>
                <w:color w:val="000000"/>
                <w:kern w:val="0"/>
                <w:sz w:val="24"/>
                <w:szCs w:val="24"/>
              </w:rPr>
              <w:t>.</w:t>
            </w:r>
            <w:r>
              <w:rPr>
                <w:rFonts w:hint="eastAsia" w:ascii="仿宋_GB2312" w:hAnsi="宋体" w:eastAsia="仿宋_GB2312"/>
                <w:color w:val="000000"/>
                <w:kern w:val="0"/>
                <w:sz w:val="24"/>
                <w:szCs w:val="24"/>
              </w:rPr>
              <w:t>上述危险废物环境管理的相关设施、场所未设置识别标志或识别标志有两处及以上错误。得0分。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现场核查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827" w:hRule="atLeast"/>
        </w:trPr>
        <w:tc>
          <w:tcPr>
            <w:tcW w:w="1384" w:type="dxa"/>
            <w:tcBorders>
              <w:top w:val="nil"/>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三、管理计划制度（《固体法》第五十三条）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4.</w:t>
            </w:r>
            <w:r>
              <w:rPr>
                <w:rFonts w:hint="eastAsia" w:ascii="仿宋_GB2312" w:hAnsi="宋体" w:eastAsia="仿宋_GB2312"/>
                <w:color w:val="000000"/>
                <w:kern w:val="0"/>
                <w:sz w:val="24"/>
                <w:szCs w:val="24"/>
              </w:rPr>
              <w:t>危险废物管理计划包括减少危险废物产生量和危害性的措施，以及危险废物贮存、利用、处置措施。</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制定了危险废物管理计划；内容齐全，危险废物的产生环节、种类、危害特性、产生量、利用处置方式描述清晰。</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A.</w:t>
            </w:r>
            <w:r>
              <w:rPr>
                <w:rFonts w:hint="eastAsia" w:ascii="仿宋_GB2312" w:hAnsi="宋体" w:eastAsia="仿宋_GB2312"/>
                <w:color w:val="000000"/>
                <w:kern w:val="0"/>
                <w:sz w:val="24"/>
                <w:szCs w:val="24"/>
              </w:rPr>
              <w:t>危险废物的产生环节、种类表述清晰；</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B.</w:t>
            </w:r>
            <w:r>
              <w:rPr>
                <w:rFonts w:hint="eastAsia" w:ascii="仿宋_GB2312" w:hAnsi="宋体" w:eastAsia="仿宋_GB2312"/>
                <w:color w:val="000000"/>
                <w:kern w:val="0"/>
                <w:sz w:val="24"/>
                <w:szCs w:val="24"/>
              </w:rPr>
              <w:t>危险废物产生量预测依据充分，且提出了减少产生量的措施；</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C.</w:t>
            </w:r>
            <w:r>
              <w:rPr>
                <w:rFonts w:hint="eastAsia" w:ascii="仿宋_GB2312" w:hAnsi="宋体" w:eastAsia="仿宋_GB2312"/>
                <w:color w:val="000000"/>
                <w:kern w:val="0"/>
                <w:sz w:val="24"/>
                <w:szCs w:val="24"/>
              </w:rPr>
              <w:t>危险废物的危害特性表述准确，且提出了减少危害性的措施；</w:t>
            </w:r>
          </w:p>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t>D.</w:t>
            </w:r>
            <w:r>
              <w:rPr>
                <w:rFonts w:hint="eastAsia" w:ascii="仿宋_GB2312" w:hAnsi="宋体" w:eastAsia="仿宋_GB2312"/>
                <w:color w:val="000000"/>
                <w:kern w:val="0"/>
                <w:sz w:val="24"/>
                <w:szCs w:val="24"/>
              </w:rPr>
              <w:t>危险废物贮存、利用、处置措施表述清楚。</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以上每项符合得</w:t>
            </w:r>
            <w:r>
              <w:rPr>
                <w:rFonts w:hint="eastAsia" w:ascii="仿宋_GB2312" w:eastAsia="仿宋_GB2312"/>
                <w:color w:val="000000"/>
                <w:kern w:val="0"/>
                <w:sz w:val="24"/>
                <w:szCs w:val="24"/>
              </w:rPr>
              <w:t>0.5</w:t>
            </w:r>
            <w:r>
              <w:rPr>
                <w:rFonts w:hint="eastAsia" w:ascii="仿宋_GB2312" w:hAnsi="宋体" w:eastAsia="仿宋_GB2312"/>
                <w:color w:val="000000"/>
                <w:kern w:val="0"/>
                <w:sz w:val="24"/>
                <w:szCs w:val="24"/>
              </w:rPr>
              <w:t>分。</w:t>
            </w:r>
          </w:p>
          <w:p>
            <w:pPr>
              <w:widowControl/>
              <w:spacing w:line="300" w:lineRule="exact"/>
              <w:rPr>
                <w:rFonts w:hint="eastAsia" w:ascii="仿宋_GB2312" w:hAnsi="宋体" w:eastAsia="仿宋_GB2312"/>
                <w:color w:val="000000"/>
                <w:kern w:val="0"/>
                <w:sz w:val="24"/>
                <w:szCs w:val="24"/>
              </w:rPr>
            </w:pPr>
          </w:p>
          <w:p>
            <w:pPr>
              <w:widowControl/>
              <w:spacing w:line="300" w:lineRule="exact"/>
              <w:rPr>
                <w:rFonts w:hint="eastAsia" w:ascii="仿宋_GB2312" w:eastAsia="仿宋_GB2312"/>
                <w:color w:val="000000"/>
                <w:kern w:val="0"/>
                <w:sz w:val="24"/>
                <w:szCs w:val="24"/>
              </w:rPr>
            </w:pP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资料检查（查看危险废物管理计划）</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237" w:hRule="atLeast"/>
        </w:trPr>
        <w:tc>
          <w:tcPr>
            <w:tcW w:w="1384"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三、管理计划制度（《固体法》第五十三条）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5.</w:t>
            </w:r>
            <w:r>
              <w:rPr>
                <w:rFonts w:hint="eastAsia" w:ascii="仿宋_GB2312" w:hAnsi="宋体" w:eastAsia="仿宋_GB2312"/>
                <w:color w:val="000000"/>
                <w:kern w:val="0"/>
                <w:sz w:val="24"/>
                <w:szCs w:val="24"/>
              </w:rPr>
              <w:t>报所在地县级以上地方人民政府环境保护行政主管部门备案。危险废物管理计划内容有重大改变的，应当及时申报。</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报环保部门备案；及时申报了重大改变。</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经县（市、区）环保部门备案，并可提供相关备案证明材料；管理计划内容若有重大改变，及时报县（市、区）环保部门重新备案。得1分。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未报县（市、区）环保部门备案或未能提供相关证明材料、有重大改变未及时申报。得0分。</w:t>
            </w:r>
          </w:p>
          <w:p>
            <w:pPr>
              <w:widowControl/>
              <w:spacing w:before="240"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注:管理计划内容有重大改变的情形包括：(1)变更法人名称、法定代表人和地址 (2)增加或减少危险废物产生类别(3)危险废物产生数量变化幅度超过20%(4)新、改、扩建或拆除原有危险废物贮存、利用和处置设施。</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资料检查（由企业提供已经进行备案的证明材料）</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3672" w:hRule="atLeast"/>
        </w:trPr>
        <w:tc>
          <w:tcPr>
            <w:tcW w:w="1384" w:type="dxa"/>
            <w:vMerge w:val="restart"/>
            <w:tcBorders>
              <w:top w:val="nil"/>
              <w:left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四、申报登记制度（《固体法》第五十三条）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6.</w:t>
            </w:r>
            <w:r>
              <w:rPr>
                <w:rFonts w:hint="eastAsia" w:ascii="仿宋_GB2312" w:hAnsi="宋体" w:eastAsia="仿宋_GB2312"/>
                <w:color w:val="000000"/>
                <w:kern w:val="0"/>
                <w:sz w:val="24"/>
                <w:szCs w:val="24"/>
              </w:rPr>
              <w:t>如实地向所在地县级以上地方人民政府环境保护行政主管部门申报危险废物的种类、产生量、流向、贮存、处置等有关资料。</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4</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如实申报（可以是专门的危险废物申报或纳入排污申报、环境统计中一并申报）；内容齐全；能提供证明材料，证明所申报数据的真实性和合理性，如关于危险废物产生和处理情况的日常记录等。</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全面、准确地申报了危险废物的种类、产生量、流向、贮存、利用、处置情况；且可提供证明材料（如：环评文件、竣工验收文件、危险废物管理台账、危险废物转移联单、危险废物处置利用合同、财务数据等等）。得4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申报登记表中存在两处及以下错误。得2分。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3.</w:t>
            </w:r>
            <w:r>
              <w:rPr>
                <w:rFonts w:hint="eastAsia" w:ascii="仿宋_GB2312" w:hAnsi="宋体" w:eastAsia="仿宋_GB2312"/>
                <w:color w:val="000000"/>
                <w:kern w:val="0"/>
                <w:sz w:val="24"/>
                <w:szCs w:val="24"/>
              </w:rPr>
              <w:t>不报或虚报、漏报、瞒报关键危险废物的，或申报登记表中关于危险废物的种类、产生量、流向、贮存、利用和处置情况存在两处以上错误。得0分。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资料检查（由企业提供已经申报登记的证明材料和相应的其他证明材料）</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310" w:hRule="atLeast"/>
        </w:trPr>
        <w:tc>
          <w:tcPr>
            <w:tcW w:w="1384" w:type="dxa"/>
            <w:vMerge w:val="continue"/>
            <w:tcBorders>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7.</w:t>
            </w:r>
            <w:r>
              <w:rPr>
                <w:rFonts w:hint="eastAsia" w:ascii="仿宋_GB2312" w:hAnsi="宋体" w:eastAsia="仿宋_GB2312"/>
                <w:color w:val="000000"/>
                <w:kern w:val="0"/>
                <w:sz w:val="24"/>
                <w:szCs w:val="24"/>
              </w:rPr>
              <w:t>申报事项有重大改变的，应当及时申报。</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及时申报了重大改变。</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1.申报事项有重大改变的进行了及时申报。得1分。</w:t>
            </w:r>
          </w:p>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2.发生重大改变未及时申报。得0分。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930" w:hRule="atLeast"/>
        </w:trPr>
        <w:tc>
          <w:tcPr>
            <w:tcW w:w="1384"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五、源头分类制度（《固体法》第五十八条）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8.</w:t>
            </w:r>
            <w:r>
              <w:rPr>
                <w:rFonts w:hint="eastAsia" w:ascii="仿宋_GB2312" w:hAnsi="宋体" w:eastAsia="仿宋_GB2312"/>
                <w:color w:val="000000"/>
                <w:kern w:val="0"/>
                <w:sz w:val="24"/>
                <w:szCs w:val="24"/>
              </w:rPr>
              <w:t>按照危险废物特性分类进行收集。</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危险废物按种类分别存放，且不同类废物间有明显的间隔（如过道等）。</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A.危险废物按种类分别存放；</w:t>
            </w: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B.不同废物间有明显间隔（如过道等）。</w:t>
            </w:r>
          </w:p>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以上每项符合得1分。</w:t>
            </w: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注： 此条考核收集时的源头分类。</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现场核查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635" w:hRule="atLeast"/>
        </w:trPr>
        <w:tc>
          <w:tcPr>
            <w:tcW w:w="1384" w:type="dxa"/>
            <w:vMerge w:val="restart"/>
            <w:tcBorders>
              <w:top w:val="nil"/>
              <w:left w:val="single" w:color="auto" w:sz="4" w:space="0"/>
              <w:right w:val="single" w:color="auto" w:sz="4" w:space="0"/>
            </w:tcBorders>
            <w:noWrap w:val="0"/>
            <w:vAlign w:val="center"/>
          </w:tcPr>
          <w:p>
            <w:pPr>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六、转移联单制度（《固体法》第五十九条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9.</w:t>
            </w:r>
            <w:r>
              <w:rPr>
                <w:rFonts w:hint="eastAsia" w:ascii="仿宋_GB2312" w:hAnsi="宋体" w:eastAsia="仿宋_GB2312"/>
                <w:color w:val="000000"/>
                <w:kern w:val="0"/>
                <w:sz w:val="24"/>
                <w:szCs w:val="24"/>
              </w:rPr>
              <w:t>在转移危险废物前，向环保部门报批危险废物转移计划，并得到批准。</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有获得环保部门批准的转移计划。</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有获得环保部门批准的转移计划。得2分。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未获得环保部门批准，擅自转移危险废物。得0分。</w:t>
            </w:r>
          </w:p>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注：需报批转移计划指跨设区市、跨省的转移，设区市市内转移不需报批，该项不适用。</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资料检查（查看批准的转移计划）、现场询问所在地县级以上环保部门</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3342" w:hRule="atLeast"/>
        </w:trPr>
        <w:tc>
          <w:tcPr>
            <w:tcW w:w="1384" w:type="dxa"/>
            <w:vMerge w:val="continue"/>
            <w:tcBorders>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10.</w:t>
            </w:r>
            <w:r>
              <w:rPr>
                <w:rFonts w:hint="eastAsia" w:ascii="仿宋_GB2312" w:hAnsi="宋体" w:eastAsia="仿宋_GB2312"/>
                <w:color w:val="000000"/>
                <w:kern w:val="0"/>
                <w:sz w:val="24"/>
                <w:szCs w:val="24"/>
              </w:rPr>
              <w:t>转移危险废物的，按照《危险废物转移联单管理办法》有关规定，如实填写转移联单中产生单位栏目，并加盖公章。</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4</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按照实际转移的危险废物，如实填写危险废物转移联单。</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spacing w:val="-6"/>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根据实际转移的危险废物，按照《危险废物转移联单管理办法》如实填写、运行危险废物转移联单。得4分。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联单填写不规范，存在两处及以下错填、漏填等情况。得2分。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3.</w:t>
            </w:r>
            <w:r>
              <w:rPr>
                <w:rFonts w:hint="eastAsia" w:ascii="仿宋_GB2312" w:hAnsi="宋体" w:eastAsia="仿宋_GB2312"/>
                <w:color w:val="000000"/>
                <w:spacing w:val="-6"/>
                <w:kern w:val="0"/>
                <w:sz w:val="24"/>
                <w:szCs w:val="24"/>
              </w:rPr>
              <w:t>对未执行一车一联单、联单未按规定交付相应单位、未按照实际转移情况填写联单、联单为非所在地设区市环保部门发放及联单填写存在错填、漏填在两处以上。得0分。</w:t>
            </w:r>
          </w:p>
          <w:p>
            <w:pPr>
              <w:widowControl/>
              <w:spacing w:line="300" w:lineRule="exact"/>
              <w:rPr>
                <w:rFonts w:hint="eastAsia" w:ascii="仿宋_GB2312" w:eastAsia="仿宋_GB2312"/>
                <w:color w:val="000000"/>
                <w:spacing w:val="-6"/>
                <w:kern w:val="0"/>
                <w:sz w:val="24"/>
                <w:szCs w:val="24"/>
              </w:rPr>
            </w:pPr>
          </w:p>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spacing w:val="-6"/>
                <w:kern w:val="0"/>
                <w:sz w:val="24"/>
                <w:szCs w:val="24"/>
              </w:rPr>
              <w:t>注：</w:t>
            </w:r>
            <w:r>
              <w:rPr>
                <w:rFonts w:hint="eastAsia" w:ascii="仿宋_GB2312" w:hAnsi="宋体" w:eastAsia="仿宋_GB2312"/>
                <w:color w:val="000000"/>
                <w:kern w:val="0"/>
                <w:sz w:val="24"/>
                <w:szCs w:val="24"/>
              </w:rPr>
              <w:t>若当地实行电子转移联单，企业如实、规范地填写电子转移联单也视为符合要求，得4分。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资料检查（现场查看转移联单，并结合环评文件、台账记录等材料进行核对）</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784" w:hRule="atLeast"/>
        </w:trPr>
        <w:tc>
          <w:tcPr>
            <w:tcW w:w="1384"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六、转移联单制度（《固体法》第五十九条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11.</w:t>
            </w:r>
            <w:r>
              <w:rPr>
                <w:rFonts w:hint="eastAsia" w:ascii="仿宋_GB2312" w:hAnsi="宋体" w:eastAsia="仿宋_GB2312"/>
                <w:color w:val="000000"/>
                <w:kern w:val="0"/>
                <w:sz w:val="24"/>
                <w:szCs w:val="24"/>
              </w:rPr>
              <w:t>转移联单保存齐全。</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截止检查日期前的危险废物转移联单齐全。</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近五年内危险废物转移联单保存齐全，数据与申报登记等材料数据一致。得1分。</w:t>
            </w: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2.联单保存不齐全或数据与申报登记等材料数据不一致。得0分。</w:t>
            </w:r>
          </w:p>
          <w:p>
            <w:pPr>
              <w:widowControl/>
              <w:spacing w:line="300" w:lineRule="exact"/>
              <w:rPr>
                <w:rFonts w:hint="eastAsia" w:ascii="仿宋_GB2312" w:hAnsi="宋体" w:eastAsia="仿宋_GB2312"/>
                <w:color w:val="000000"/>
                <w:kern w:val="0"/>
                <w:sz w:val="24"/>
                <w:szCs w:val="24"/>
              </w:rPr>
            </w:pP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注：往年度此项检查已扣分的，核查其他年度情况，不重复扣分。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spacing w:val="-4"/>
                <w:kern w:val="0"/>
                <w:sz w:val="24"/>
                <w:szCs w:val="24"/>
              </w:rPr>
              <w:t>资料检查（查看联单，可与申报登记数据核对）</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405" w:hRule="atLeast"/>
        </w:trPr>
        <w:tc>
          <w:tcPr>
            <w:tcW w:w="1384" w:type="dxa"/>
            <w:vMerge w:val="restart"/>
            <w:tcBorders>
              <w:top w:val="nil"/>
              <w:left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七、经营许可证制度（《固体法》第五十七条）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spacing w:val="-4"/>
                <w:kern w:val="0"/>
                <w:sz w:val="24"/>
                <w:szCs w:val="24"/>
              </w:rPr>
            </w:pPr>
            <w:r>
              <w:rPr>
                <w:rFonts w:hint="eastAsia" w:ascii="仿宋_GB2312" w:hAnsi="宋体" w:eastAsia="仿宋_GB2312"/>
                <w:color w:val="000000"/>
                <w:spacing w:val="-4"/>
                <w:kern w:val="0"/>
                <w:sz w:val="24"/>
                <w:szCs w:val="24"/>
              </w:rPr>
              <w:t>*</w:t>
            </w:r>
            <w:r>
              <w:rPr>
                <w:rFonts w:hint="eastAsia" w:ascii="仿宋_GB2312" w:eastAsia="仿宋_GB2312"/>
                <w:color w:val="000000"/>
                <w:spacing w:val="-4"/>
                <w:kern w:val="0"/>
                <w:sz w:val="24"/>
                <w:szCs w:val="24"/>
              </w:rPr>
              <w:t>12.</w:t>
            </w:r>
            <w:r>
              <w:rPr>
                <w:rFonts w:hint="eastAsia" w:ascii="仿宋_GB2312" w:hAnsi="宋体" w:eastAsia="仿宋_GB2312"/>
                <w:color w:val="000000"/>
                <w:spacing w:val="-4"/>
                <w:kern w:val="0"/>
                <w:sz w:val="24"/>
                <w:szCs w:val="24"/>
              </w:rPr>
              <w:t>转移的危险废物，全部提供或委托给持危险废物经营许可证的单位从事收集、贮存、利用、处置的活动。</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除贮存和自行利用处置的，全部提供或委托给持危险废物经营许可证的单位。</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除贮存和自行利用处置的，危险废物全部提供或委托给具有相应资质的危险废物经营单位处理（与申报登记、环评、转移联单等数据核对）。得2分。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除贮存和自行利用处置的，危险废物部分或全部交由无相应经营资质的单位处理。得0分。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资料检查（可与申报登记数据及其证明材料，以及转移联单等核对）</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2387" w:hRule="atLeast"/>
        </w:trPr>
        <w:tc>
          <w:tcPr>
            <w:tcW w:w="1384" w:type="dxa"/>
            <w:vMerge w:val="continue"/>
            <w:tcBorders>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13.</w:t>
            </w:r>
            <w:r>
              <w:rPr>
                <w:rFonts w:hint="eastAsia" w:ascii="仿宋_GB2312" w:hAnsi="宋体" w:eastAsia="仿宋_GB2312"/>
                <w:color w:val="000000"/>
                <w:kern w:val="0"/>
                <w:sz w:val="24"/>
                <w:szCs w:val="24"/>
              </w:rPr>
              <w:t>年产生10吨以上的危险废物产生单位有与危险废物经营单位签订的委托利用、处置合同。</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spacing w:val="-6"/>
                <w:kern w:val="0"/>
                <w:sz w:val="24"/>
                <w:szCs w:val="24"/>
              </w:rPr>
            </w:pPr>
            <w:r>
              <w:rPr>
                <w:rFonts w:hint="eastAsia" w:ascii="仿宋_GB2312" w:hAnsi="宋体" w:eastAsia="仿宋_GB2312"/>
                <w:color w:val="000000"/>
                <w:spacing w:val="-6"/>
                <w:kern w:val="0"/>
                <w:sz w:val="24"/>
                <w:szCs w:val="24"/>
              </w:rPr>
              <w:t>有与持危险废物经营许可证的单位签订的合同。</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spacing w:val="-6"/>
                <w:kern w:val="0"/>
                <w:sz w:val="24"/>
                <w:szCs w:val="24"/>
              </w:rPr>
            </w:pPr>
          </w:p>
          <w:p>
            <w:pPr>
              <w:widowControl/>
              <w:spacing w:line="300" w:lineRule="exact"/>
              <w:rPr>
                <w:rFonts w:hint="eastAsia" w:ascii="仿宋_GB2312" w:hAnsi="宋体" w:eastAsia="仿宋_GB2312"/>
                <w:color w:val="000000"/>
                <w:spacing w:val="-6"/>
                <w:kern w:val="0"/>
                <w:sz w:val="24"/>
                <w:szCs w:val="24"/>
              </w:rPr>
            </w:pPr>
            <w:r>
              <w:rPr>
                <w:rFonts w:hint="eastAsia" w:ascii="仿宋_GB2312" w:eastAsia="仿宋_GB2312"/>
                <w:color w:val="000000"/>
                <w:spacing w:val="-6"/>
                <w:kern w:val="0"/>
                <w:sz w:val="24"/>
                <w:szCs w:val="24"/>
              </w:rPr>
              <w:t>1.</w:t>
            </w:r>
            <w:r>
              <w:rPr>
                <w:rFonts w:hint="eastAsia" w:ascii="仿宋_GB2312" w:hAnsi="宋体" w:eastAsia="仿宋_GB2312"/>
                <w:color w:val="000000"/>
                <w:spacing w:val="-6"/>
                <w:kern w:val="0"/>
                <w:sz w:val="24"/>
                <w:szCs w:val="24"/>
              </w:rPr>
              <w:t>与具有相应危险废物经营资质的单位签订了合同且合同在有效期内，可以提供相应危险废物经营许可证复印件。得2分。</w:t>
            </w:r>
            <w:r>
              <w:rPr>
                <w:rFonts w:hint="eastAsia" w:ascii="仿宋_GB2312" w:eastAsia="仿宋_GB2312"/>
                <w:color w:val="000000"/>
                <w:spacing w:val="-6"/>
                <w:kern w:val="0"/>
                <w:sz w:val="24"/>
                <w:szCs w:val="24"/>
              </w:rPr>
              <w:br w:type="textWrapping"/>
            </w:r>
            <w:r>
              <w:rPr>
                <w:rFonts w:hint="eastAsia" w:ascii="仿宋_GB2312" w:eastAsia="仿宋_GB2312"/>
                <w:color w:val="000000"/>
                <w:spacing w:val="-6"/>
                <w:kern w:val="0"/>
                <w:sz w:val="24"/>
                <w:szCs w:val="24"/>
              </w:rPr>
              <w:t>2.</w:t>
            </w:r>
            <w:r>
              <w:rPr>
                <w:rFonts w:hint="eastAsia" w:ascii="仿宋_GB2312" w:hAnsi="宋体" w:eastAsia="仿宋_GB2312"/>
                <w:color w:val="000000"/>
                <w:spacing w:val="-6"/>
                <w:kern w:val="0"/>
                <w:sz w:val="24"/>
                <w:szCs w:val="24"/>
              </w:rPr>
              <w:t>与具有相应危险废物处理资质的单位签订处理协议，且协议在有效期内，但无法提供相应的危险废物经营许可证复印件。得1分。</w:t>
            </w:r>
            <w:r>
              <w:rPr>
                <w:rFonts w:hint="eastAsia" w:ascii="仿宋_GB2312" w:eastAsia="仿宋_GB2312"/>
                <w:color w:val="000000"/>
                <w:spacing w:val="-6"/>
                <w:kern w:val="0"/>
                <w:sz w:val="24"/>
                <w:szCs w:val="24"/>
              </w:rPr>
              <w:br w:type="textWrapping"/>
            </w:r>
            <w:r>
              <w:rPr>
                <w:rFonts w:hint="eastAsia" w:ascii="仿宋_GB2312" w:eastAsia="仿宋_GB2312"/>
                <w:color w:val="000000"/>
                <w:spacing w:val="-6"/>
                <w:kern w:val="0"/>
                <w:sz w:val="24"/>
                <w:szCs w:val="24"/>
              </w:rPr>
              <w:t>3.</w:t>
            </w:r>
            <w:r>
              <w:rPr>
                <w:rFonts w:hint="eastAsia" w:ascii="仿宋_GB2312" w:hAnsi="宋体" w:eastAsia="仿宋_GB2312"/>
                <w:color w:val="000000"/>
                <w:spacing w:val="-6"/>
                <w:kern w:val="0"/>
                <w:sz w:val="24"/>
                <w:szCs w:val="24"/>
              </w:rPr>
              <w:t>未签订危险废物处理协议，或协议过期。得0分。</w:t>
            </w:r>
          </w:p>
          <w:p>
            <w:pPr>
              <w:widowControl/>
              <w:spacing w:line="300" w:lineRule="exact"/>
              <w:rPr>
                <w:rFonts w:hint="eastAsia" w:ascii="仿宋_GB2312" w:hAnsi="宋体" w:eastAsia="仿宋_GB2312"/>
                <w:color w:val="000000"/>
                <w:spacing w:val="-6"/>
                <w:kern w:val="0"/>
                <w:sz w:val="24"/>
                <w:szCs w:val="24"/>
              </w:rPr>
            </w:pPr>
          </w:p>
          <w:p>
            <w:pPr>
              <w:widowControl/>
              <w:spacing w:line="300" w:lineRule="exact"/>
              <w:rPr>
                <w:rFonts w:hint="eastAsia" w:ascii="仿宋_GB2312" w:hAnsi="宋体" w:eastAsia="仿宋_GB2312"/>
                <w:color w:val="000000"/>
                <w:spacing w:val="-6"/>
                <w:kern w:val="0"/>
                <w:sz w:val="24"/>
                <w:szCs w:val="24"/>
              </w:rPr>
            </w:pP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资料检查（核查合同有效性及危险废物接收单位的危险废物经营许可证复印件）</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035" w:hRule="atLeast"/>
        </w:trPr>
        <w:tc>
          <w:tcPr>
            <w:tcW w:w="1384" w:type="dxa"/>
            <w:vMerge w:val="restart"/>
            <w:tcBorders>
              <w:top w:val="single" w:color="auto" w:sz="4" w:space="0"/>
              <w:left w:val="single" w:color="auto" w:sz="4" w:space="0"/>
              <w:right w:val="single" w:color="auto" w:sz="4" w:space="0"/>
            </w:tcBorders>
            <w:noWrap w:val="0"/>
            <w:vAlign w:val="center"/>
          </w:tcPr>
          <w:p>
            <w:pPr>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八、应急预案备案制度（《固体法》第六十二条）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14.</w:t>
            </w:r>
            <w:r>
              <w:rPr>
                <w:rFonts w:hint="eastAsia" w:ascii="仿宋_GB2312" w:hAnsi="宋体" w:eastAsia="仿宋_GB2312"/>
                <w:color w:val="000000"/>
                <w:kern w:val="0"/>
                <w:sz w:val="24"/>
                <w:szCs w:val="24"/>
              </w:rPr>
              <w:t>制定了意外事故的防范措施和应急预案。</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有意外事故应急预案（综合性应急预案有相关篇章或有专门应急预案）。</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A.</w:t>
            </w:r>
            <w:r>
              <w:rPr>
                <w:rFonts w:hint="eastAsia" w:ascii="仿宋_GB2312" w:hAnsi="宋体" w:eastAsia="仿宋_GB2312"/>
                <w:color w:val="000000"/>
                <w:kern w:val="0"/>
                <w:sz w:val="24"/>
                <w:szCs w:val="24"/>
              </w:rPr>
              <w:t>应急预案有明确的管理机构及负责人；</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B.</w:t>
            </w:r>
            <w:r>
              <w:rPr>
                <w:rFonts w:hint="eastAsia" w:ascii="仿宋_GB2312" w:hAnsi="宋体" w:eastAsia="仿宋_GB2312"/>
                <w:color w:val="000000"/>
                <w:kern w:val="0"/>
                <w:sz w:val="24"/>
                <w:szCs w:val="24"/>
              </w:rPr>
              <w:t>有意外事故的情形及相应的处理措施；</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C.</w:t>
            </w:r>
            <w:r>
              <w:rPr>
                <w:rFonts w:hint="eastAsia" w:ascii="仿宋_GB2312" w:hAnsi="宋体" w:eastAsia="仿宋_GB2312"/>
                <w:color w:val="000000"/>
                <w:kern w:val="0"/>
                <w:sz w:val="24"/>
                <w:szCs w:val="24"/>
              </w:rPr>
              <w:t>有应急预案中要求配置的应急装备及物资；</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D.</w:t>
            </w:r>
            <w:r>
              <w:rPr>
                <w:rFonts w:hint="eastAsia" w:ascii="仿宋_GB2312" w:hAnsi="宋体" w:eastAsia="仿宋_GB2312"/>
                <w:color w:val="000000"/>
                <w:kern w:val="0"/>
                <w:sz w:val="24"/>
                <w:szCs w:val="24"/>
              </w:rPr>
              <w:t>内部及外部环境发生改变时，及时对应急预案进行了修订。</w:t>
            </w:r>
          </w:p>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制定了应急预案且达到以上全部要求。得1分。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未制定意外事故应急预案，或不能达到上述两项以上要求。得0分。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资料检查（查看应急预案）</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208" w:hRule="atLeast"/>
        </w:trPr>
        <w:tc>
          <w:tcPr>
            <w:tcW w:w="1384" w:type="dxa"/>
            <w:vMerge w:val="continue"/>
            <w:tcBorders>
              <w:left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1707" w:type="dxa"/>
            <w:tcBorders>
              <w:top w:val="single" w:color="auto" w:sz="4" w:space="0"/>
              <w:left w:val="nil"/>
              <w:bottom w:val="single" w:color="auto" w:sz="4" w:space="0"/>
              <w:right w:val="single" w:color="auto" w:sz="4" w:space="0"/>
            </w:tcBorders>
            <w:noWrap w:val="0"/>
            <w:vAlign w:val="center"/>
          </w:tcPr>
          <w:p>
            <w:pPr>
              <w:widowControl/>
              <w:adjustRightInd w:val="0"/>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15.</w:t>
            </w:r>
            <w:r>
              <w:rPr>
                <w:rFonts w:hint="eastAsia" w:ascii="仿宋_GB2312" w:hAnsi="宋体" w:eastAsia="仿宋_GB2312"/>
                <w:color w:val="000000"/>
                <w:spacing w:val="-6"/>
                <w:kern w:val="0"/>
                <w:sz w:val="24"/>
                <w:szCs w:val="24"/>
              </w:rPr>
              <w:t>向所在地县级以上地方人民政府环境保护行政主管部门备案。</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在当地环保部门备案。</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应急预案报所在地县（市、区）环保部门备案，有相关的证明材料。得1分。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未备案或无相关的证明材料。得0分。</w:t>
            </w:r>
          </w:p>
          <w:p>
            <w:pPr>
              <w:widowControl/>
              <w:spacing w:line="300" w:lineRule="exact"/>
              <w:rPr>
                <w:rFonts w:hint="eastAsia" w:ascii="仿宋_GB2312" w:eastAsia="仿宋_GB2312"/>
                <w:color w:val="000000"/>
                <w:kern w:val="0"/>
                <w:sz w:val="24"/>
                <w:szCs w:val="24"/>
              </w:rPr>
            </w:pP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资料检查（查看备案证明）</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207" w:hRule="atLeast"/>
        </w:trPr>
        <w:tc>
          <w:tcPr>
            <w:tcW w:w="1384" w:type="dxa"/>
            <w:vMerge w:val="continue"/>
            <w:tcBorders>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16.</w:t>
            </w:r>
            <w:r>
              <w:rPr>
                <w:rFonts w:hint="eastAsia" w:ascii="仿宋_GB2312" w:hAnsi="宋体" w:eastAsia="仿宋_GB2312"/>
                <w:color w:val="000000"/>
                <w:kern w:val="0"/>
                <w:sz w:val="24"/>
                <w:szCs w:val="24"/>
              </w:rPr>
              <w:t>按照预案要求每年组织应急演练。</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按照预案要求每年组织应急演练。</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spacing w:val="-20"/>
                <w:kern w:val="0"/>
                <w:sz w:val="24"/>
                <w:szCs w:val="24"/>
              </w:rPr>
            </w:pPr>
            <w:r>
              <w:rPr>
                <w:rFonts w:hint="eastAsia" w:ascii="仿宋_GB2312" w:hAnsi="宋体" w:eastAsia="仿宋_GB2312"/>
                <w:color w:val="000000"/>
                <w:kern w:val="0"/>
                <w:sz w:val="24"/>
                <w:szCs w:val="24"/>
              </w:rPr>
              <w:t>对于危险废物年产生量在10吨以下的企业：</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有图片、文字或视频记载。得2分。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无任何记载或能够证明组织了应急演练</w:t>
            </w:r>
            <w:r>
              <w:rPr>
                <w:rFonts w:hint="eastAsia" w:ascii="仿宋_GB2312" w:hAnsi="宋体" w:eastAsia="仿宋_GB2312"/>
                <w:color w:val="000000"/>
                <w:spacing w:val="-20"/>
                <w:kern w:val="0"/>
                <w:sz w:val="24"/>
                <w:szCs w:val="24"/>
              </w:rPr>
              <w:t>。得0分。</w:t>
            </w:r>
          </w:p>
          <w:p>
            <w:pPr>
              <w:widowControl/>
              <w:spacing w:line="300" w:lineRule="exact"/>
              <w:rPr>
                <w:rFonts w:hint="eastAsia" w:ascii="仿宋_GB2312" w:hAnsi="宋体" w:eastAsia="仿宋_GB2312"/>
                <w:color w:val="000000"/>
                <w:spacing w:val="-20"/>
                <w:kern w:val="0"/>
                <w:sz w:val="24"/>
                <w:szCs w:val="24"/>
              </w:rPr>
            </w:pPr>
          </w:p>
          <w:p>
            <w:pPr>
              <w:widowControl/>
              <w:spacing w:line="300" w:lineRule="exact"/>
              <w:rPr>
                <w:rFonts w:hint="eastAsia" w:ascii="仿宋_GB2312" w:eastAsia="仿宋_GB2312"/>
                <w:color w:val="000000"/>
                <w:spacing w:val="-20"/>
                <w:kern w:val="0"/>
                <w:sz w:val="24"/>
                <w:szCs w:val="24"/>
              </w:rPr>
            </w:pPr>
            <w:r>
              <w:rPr>
                <w:rFonts w:hint="eastAsia" w:ascii="仿宋_GB2312" w:hAnsi="宋体" w:eastAsia="仿宋_GB2312"/>
                <w:color w:val="000000"/>
                <w:kern w:val="0"/>
                <w:sz w:val="24"/>
                <w:szCs w:val="24"/>
              </w:rPr>
              <w:t>对于危险废物年产生量</w:t>
            </w:r>
            <w:r>
              <w:rPr>
                <w:rFonts w:hint="eastAsia" w:ascii="仿宋_GB2312" w:eastAsia="仿宋_GB2312"/>
                <w:color w:val="000000"/>
                <w:kern w:val="0"/>
                <w:sz w:val="24"/>
                <w:szCs w:val="24"/>
              </w:rPr>
              <w:t>10</w:t>
            </w:r>
            <w:r>
              <w:rPr>
                <w:rFonts w:hint="eastAsia" w:ascii="仿宋_GB2312" w:hAnsi="宋体" w:eastAsia="仿宋_GB2312"/>
                <w:color w:val="000000"/>
                <w:kern w:val="0"/>
                <w:sz w:val="24"/>
                <w:szCs w:val="24"/>
              </w:rPr>
              <w:t>吨（含）以上的企业，近一年内组织了应急演练，以下每项要求符合得0.5分；未组织应急预案演练的得0分。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A.</w:t>
            </w:r>
            <w:r>
              <w:rPr>
                <w:rFonts w:hint="eastAsia" w:ascii="仿宋_GB2312" w:hAnsi="宋体" w:eastAsia="仿宋_GB2312"/>
                <w:color w:val="000000"/>
                <w:kern w:val="0"/>
                <w:sz w:val="24"/>
                <w:szCs w:val="24"/>
              </w:rPr>
              <w:t>有详细的演练计划；</w:t>
            </w:r>
          </w:p>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t>B.</w:t>
            </w:r>
            <w:r>
              <w:rPr>
                <w:rFonts w:hint="eastAsia" w:ascii="仿宋_GB2312" w:hAnsi="宋体" w:eastAsia="仿宋_GB2312"/>
                <w:color w:val="000000"/>
                <w:kern w:val="0"/>
                <w:sz w:val="24"/>
                <w:szCs w:val="24"/>
              </w:rPr>
              <w:t>有演练的图片、文字或视频记录；</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C.</w:t>
            </w:r>
            <w:r>
              <w:rPr>
                <w:rFonts w:hint="eastAsia" w:ascii="仿宋_GB2312" w:hAnsi="宋体" w:eastAsia="仿宋_GB2312"/>
                <w:color w:val="000000"/>
                <w:kern w:val="0"/>
                <w:sz w:val="24"/>
                <w:szCs w:val="24"/>
              </w:rPr>
              <w:t>有演练后的总结材料；</w:t>
            </w:r>
          </w:p>
          <w:p>
            <w:pPr>
              <w:widowControl/>
              <w:spacing w:line="300" w:lineRule="exact"/>
              <w:rPr>
                <w:rFonts w:hint="eastAsia" w:ascii="仿宋_GB2312" w:hAnsi="宋体" w:eastAsia="仿宋_GB2312"/>
                <w:color w:val="000000"/>
                <w:kern w:val="0"/>
                <w:sz w:val="24"/>
                <w:szCs w:val="24"/>
              </w:rPr>
            </w:pPr>
            <w:r>
              <w:rPr>
                <w:rFonts w:hint="eastAsia" w:ascii="仿宋_GB2312" w:eastAsia="仿宋_GB2312"/>
                <w:color w:val="000000"/>
                <w:kern w:val="0"/>
                <w:sz w:val="24"/>
                <w:szCs w:val="24"/>
              </w:rPr>
              <w:t>D.</w:t>
            </w:r>
            <w:r>
              <w:rPr>
                <w:rFonts w:hint="eastAsia" w:ascii="仿宋_GB2312" w:hAnsi="宋体" w:eastAsia="仿宋_GB2312"/>
                <w:color w:val="000000"/>
                <w:kern w:val="0"/>
                <w:sz w:val="24"/>
                <w:szCs w:val="24"/>
              </w:rPr>
              <w:t>参加演练人员熟悉应急防范措施。</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资料检查（查看应急预案演练记录）、现场询问</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3663" w:hRule="atLeast"/>
        </w:trPr>
        <w:tc>
          <w:tcPr>
            <w:tcW w:w="1384"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九、业务培训（《关于进一步加强危险废物和医疗废物监管工作的意见》，环发〔2011〕19号第五条）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17.</w:t>
            </w:r>
            <w:r>
              <w:rPr>
                <w:rFonts w:hint="eastAsia" w:ascii="仿宋_GB2312" w:hAnsi="宋体" w:eastAsia="仿宋_GB2312"/>
                <w:color w:val="000000"/>
                <w:kern w:val="0"/>
                <w:sz w:val="24"/>
                <w:szCs w:val="24"/>
              </w:rPr>
              <w:t>危险废物产生单位应当对本单位工作人员进行培训。</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相关管理人员和从事危险废物收集、运输、暂存、利用和处置等工作的人员掌握国家相关法律法规、规章和有关规范性文件的规定；熟悉本单位制定的危险废物管理规章制度、工作流程和应急预案等各项要求；掌握危险废物分类收集、运输、暂存的正确方法和操作程序。</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A.</w:t>
            </w:r>
            <w:r>
              <w:rPr>
                <w:rFonts w:hint="eastAsia" w:ascii="仿宋_GB2312" w:hAnsi="宋体" w:eastAsia="仿宋_GB2312"/>
                <w:color w:val="000000"/>
                <w:kern w:val="0"/>
                <w:sz w:val="24"/>
                <w:szCs w:val="24"/>
              </w:rPr>
              <w:t>对管理人员和从事危险废物收集、运输、暂存、利用和处置等工作的人员进行了培训；</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B.</w:t>
            </w:r>
            <w:r>
              <w:rPr>
                <w:rFonts w:hint="eastAsia" w:ascii="仿宋_GB2312" w:hAnsi="宋体" w:eastAsia="仿宋_GB2312"/>
                <w:color w:val="000000"/>
                <w:kern w:val="0"/>
                <w:sz w:val="24"/>
                <w:szCs w:val="24"/>
              </w:rPr>
              <w:t>参加培训人员对危险废物管理制度、相应岗位危险废物管理要求等较熟悉。</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以上每项符合得0.5分。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资料检查（查看培训相关材料）、现场询问</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274" w:hRule="atLeast"/>
        </w:trPr>
        <w:tc>
          <w:tcPr>
            <w:tcW w:w="1384" w:type="dxa"/>
            <w:tcBorders>
              <w:top w:val="nil"/>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十、贮存设施管理（《固体法》第十三条、第五十八条）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18.</w:t>
            </w:r>
            <w:r>
              <w:rPr>
                <w:rFonts w:hint="eastAsia" w:ascii="仿宋_GB2312" w:hAnsi="宋体" w:eastAsia="仿宋_GB2312"/>
                <w:color w:val="000000"/>
                <w:kern w:val="0"/>
                <w:sz w:val="24"/>
                <w:szCs w:val="24"/>
              </w:rPr>
              <w:t>依法进行环境影响评价，完成“三同时”验收。</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有环评材料，并完成“三同时”验收。</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环境影响评价文件中对危险废物贮存设施进行了评价，且完成了“三同时”验收或在经核准的试生产期内。得2分。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环境影响评价文件中对危险废物贮存设施进行了评价，但未完成“三同时”验收。得1分。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3.</w:t>
            </w:r>
            <w:r>
              <w:rPr>
                <w:rFonts w:hint="eastAsia" w:ascii="仿宋_GB2312" w:hAnsi="宋体" w:eastAsia="仿宋_GB2312"/>
                <w:color w:val="000000"/>
                <w:kern w:val="0"/>
                <w:sz w:val="24"/>
                <w:szCs w:val="24"/>
              </w:rPr>
              <w:t>环境影响评价文件中未对危险废物贮存设施进行评价。得0分。</w:t>
            </w:r>
          </w:p>
          <w:p>
            <w:pPr>
              <w:widowControl/>
              <w:spacing w:line="300" w:lineRule="exact"/>
              <w:rPr>
                <w:rFonts w:hint="eastAsia" w:ascii="仿宋_GB2312" w:eastAsia="仿宋_GB2312"/>
                <w:color w:val="000000"/>
                <w:kern w:val="0"/>
                <w:sz w:val="24"/>
                <w:szCs w:val="24"/>
              </w:rPr>
            </w:pP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注：对《环境影响评价法》实施前已建成，又未发生改建、扩建的项目，该项不适用。</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资料检查（查看环评及批复、验收报告等）</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3094" w:hRule="atLeast"/>
        </w:trPr>
        <w:tc>
          <w:tcPr>
            <w:tcW w:w="1384" w:type="dxa"/>
            <w:vMerge w:val="restart"/>
            <w:tcBorders>
              <w:top w:val="single" w:color="auto" w:sz="4" w:space="0"/>
              <w:left w:val="single" w:color="auto" w:sz="4" w:space="0"/>
              <w:right w:val="single" w:color="auto" w:sz="4" w:space="0"/>
            </w:tcBorders>
            <w:noWrap w:val="0"/>
            <w:vAlign w:val="center"/>
          </w:tcPr>
          <w:p>
            <w:pPr>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十、贮存设施管理（《固体法》第十三条、第五十八条）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19.</w:t>
            </w:r>
            <w:r>
              <w:rPr>
                <w:rFonts w:hint="eastAsia" w:ascii="仿宋_GB2312" w:hAnsi="宋体" w:eastAsia="仿宋_GB2312"/>
                <w:color w:val="000000"/>
                <w:kern w:val="0"/>
                <w:sz w:val="24"/>
                <w:szCs w:val="24"/>
              </w:rPr>
              <w:t>符合《危险废物贮存污染控制标准》的有关要求。</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贮存场所地面作硬化及防渗处理；场所应有雨棚、围堰或围墙；设置废水导排管道或渠道，将冲洗废水纳入企业废水处理设施处理或危险废物管理；贮存液态或半固态废物的，需设置泄露液体收集装置；装载危险废物的容器完好无损。</w:t>
            </w:r>
          </w:p>
          <w:p>
            <w:pPr>
              <w:widowControl/>
              <w:spacing w:line="300" w:lineRule="exact"/>
              <w:rPr>
                <w:rFonts w:hint="eastAsia" w:ascii="仿宋_GB2312" w:eastAsia="仿宋_GB2312"/>
                <w:color w:val="000000"/>
                <w:kern w:val="0"/>
                <w:sz w:val="24"/>
                <w:szCs w:val="24"/>
              </w:rPr>
            </w:pP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A.</w:t>
            </w:r>
            <w:r>
              <w:rPr>
                <w:rFonts w:hint="eastAsia" w:ascii="仿宋_GB2312" w:hAnsi="宋体" w:eastAsia="仿宋_GB2312"/>
                <w:color w:val="000000"/>
                <w:kern w:val="0"/>
                <w:sz w:val="24"/>
                <w:szCs w:val="24"/>
              </w:rPr>
              <w:t>贮存场所地面硬化及防渗处理；</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B.</w:t>
            </w:r>
            <w:r>
              <w:rPr>
                <w:rFonts w:hint="eastAsia" w:ascii="仿宋_GB2312" w:hAnsi="宋体" w:eastAsia="仿宋_GB2312"/>
                <w:color w:val="000000"/>
                <w:kern w:val="0"/>
                <w:sz w:val="24"/>
                <w:szCs w:val="24"/>
              </w:rPr>
              <w:t>场所应有雨棚、围堰或围墙，并采取措施禁止无关人员进入；</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C.</w:t>
            </w:r>
            <w:r>
              <w:rPr>
                <w:rFonts w:hint="eastAsia" w:ascii="仿宋_GB2312" w:hAnsi="宋体" w:eastAsia="仿宋_GB2312"/>
                <w:color w:val="000000"/>
                <w:kern w:val="0"/>
                <w:sz w:val="24"/>
                <w:szCs w:val="24"/>
              </w:rPr>
              <w:t>设置废水导排管道或渠道；</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D.</w:t>
            </w:r>
            <w:r>
              <w:rPr>
                <w:rFonts w:hint="eastAsia" w:ascii="仿宋_GB2312" w:hAnsi="宋体" w:eastAsia="仿宋_GB2312"/>
                <w:color w:val="000000"/>
                <w:kern w:val="0"/>
                <w:sz w:val="24"/>
                <w:szCs w:val="24"/>
              </w:rPr>
              <w:t>将冲洗废水纳入企业废水处理设施处理或危险废物管理；</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E.</w:t>
            </w:r>
            <w:r>
              <w:rPr>
                <w:rFonts w:hint="eastAsia" w:ascii="仿宋_GB2312" w:hAnsi="宋体" w:eastAsia="仿宋_GB2312"/>
                <w:color w:val="000000"/>
                <w:kern w:val="0"/>
                <w:sz w:val="24"/>
                <w:szCs w:val="24"/>
              </w:rPr>
              <w:t>贮存液态或半固态废物的，需设置泄露液体收集装置；</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F.</w:t>
            </w:r>
            <w:r>
              <w:rPr>
                <w:rFonts w:hint="eastAsia" w:ascii="仿宋_GB2312" w:hAnsi="宋体" w:eastAsia="仿宋_GB2312"/>
                <w:color w:val="000000"/>
                <w:kern w:val="0"/>
                <w:sz w:val="24"/>
                <w:szCs w:val="24"/>
              </w:rPr>
              <w:t>装载危险废物的容器完好无损。</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以上每项符合得</w:t>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现场核查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307" w:hRule="atLeast"/>
        </w:trPr>
        <w:tc>
          <w:tcPr>
            <w:tcW w:w="1384" w:type="dxa"/>
            <w:vMerge w:val="continue"/>
            <w:tcBorders>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spacing w:val="-6"/>
                <w:kern w:val="0"/>
                <w:sz w:val="24"/>
                <w:szCs w:val="24"/>
              </w:rPr>
            </w:pPr>
            <w:r>
              <w:rPr>
                <w:rFonts w:hint="eastAsia" w:ascii="仿宋_GB2312" w:hAnsi="宋体" w:eastAsia="仿宋_GB2312"/>
                <w:color w:val="000000"/>
                <w:spacing w:val="-6"/>
                <w:kern w:val="0"/>
                <w:sz w:val="24"/>
                <w:szCs w:val="24"/>
              </w:rPr>
              <w:t>20.未混合贮存性质不相容而未经安全性处置的危险废物；未将危险废物混入非危险废物中贮存。</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做到分类贮存。</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A.</w:t>
            </w:r>
            <w:r>
              <w:rPr>
                <w:rFonts w:hint="eastAsia" w:ascii="仿宋_GB2312" w:hAnsi="宋体" w:eastAsia="仿宋_GB2312"/>
                <w:color w:val="000000"/>
                <w:kern w:val="0"/>
                <w:sz w:val="24"/>
                <w:szCs w:val="24"/>
              </w:rPr>
              <w:t>按照危险废物特性进行分类贮存，未混合贮存性质不相容且未经安全性处置的危险废物；</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B.</w:t>
            </w:r>
            <w:r>
              <w:rPr>
                <w:rFonts w:hint="eastAsia" w:ascii="仿宋_GB2312" w:hAnsi="宋体" w:eastAsia="仿宋_GB2312"/>
                <w:color w:val="000000"/>
                <w:kern w:val="0"/>
                <w:sz w:val="24"/>
                <w:szCs w:val="24"/>
              </w:rPr>
              <w:t>未将危险废物混入非危险废物中贮存。</w:t>
            </w:r>
          </w:p>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以上每项符合得1分。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现场核查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503" w:hRule="atLeast"/>
        </w:trPr>
        <w:tc>
          <w:tcPr>
            <w:tcW w:w="1384"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十、贮存设施管理（《固体法》第十三条、第五十八条）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21.建立危险废物贮存台账，并如实和规范记录危险废物贮存情况。</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3</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有台账，并如实和规范记录危险废物贮存情况。</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台账如实和规范记录危险废物贮存情况。得3分。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有台账，但台账存在两处及以下错误。得2分。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3.</w:t>
            </w:r>
            <w:r>
              <w:rPr>
                <w:rFonts w:hint="eastAsia" w:ascii="仿宋_GB2312" w:hAnsi="宋体" w:eastAsia="仿宋_GB2312"/>
                <w:color w:val="000000"/>
                <w:kern w:val="0"/>
                <w:sz w:val="24"/>
                <w:szCs w:val="24"/>
              </w:rPr>
              <w:t>无台账或台账存在多于两处错误。得0分。</w:t>
            </w:r>
          </w:p>
          <w:p>
            <w:pPr>
              <w:widowControl/>
              <w:spacing w:line="300" w:lineRule="exact"/>
              <w:rPr>
                <w:rFonts w:hint="eastAsia" w:ascii="仿宋_GB2312" w:hAnsi="宋体" w:eastAsia="仿宋_GB2312"/>
                <w:color w:val="000000"/>
                <w:kern w:val="0"/>
                <w:sz w:val="24"/>
                <w:szCs w:val="24"/>
              </w:rPr>
            </w:pP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注：危险废物贮存情况包括：名称、种类、数量、来源、出入库时间、去向、交接人签字等内容。</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511" w:hRule="atLeast"/>
        </w:trPr>
        <w:tc>
          <w:tcPr>
            <w:tcW w:w="3091"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b/>
                <w:bCs/>
                <w:color w:val="000000"/>
                <w:kern w:val="0"/>
                <w:sz w:val="24"/>
                <w:szCs w:val="24"/>
              </w:rPr>
            </w:pPr>
            <w:r>
              <w:rPr>
                <w:rFonts w:hint="eastAsia" w:ascii="仿宋_GB2312" w:hAnsi="宋体" w:eastAsia="仿宋_GB2312"/>
                <w:b/>
                <w:bCs/>
                <w:color w:val="000000"/>
                <w:kern w:val="0"/>
                <w:sz w:val="24"/>
                <w:szCs w:val="24"/>
              </w:rPr>
              <w:t>合  计</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50</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9496" w:type="dxa"/>
            <w:gridSpan w:val="4"/>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w:t>
            </w:r>
          </w:p>
        </w:tc>
      </w:tr>
      <w:tr>
        <w:tblPrEx>
          <w:tblCellMar>
            <w:top w:w="0" w:type="dxa"/>
            <w:left w:w="108" w:type="dxa"/>
            <w:bottom w:w="0" w:type="dxa"/>
            <w:right w:w="108" w:type="dxa"/>
          </w:tblCellMar>
        </w:tblPrEx>
        <w:trPr>
          <w:trHeight w:val="1863" w:hRule="atLeast"/>
        </w:trPr>
        <w:tc>
          <w:tcPr>
            <w:tcW w:w="1384" w:type="dxa"/>
            <w:vMerge w:val="restart"/>
            <w:tcBorders>
              <w:top w:val="nil"/>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十一、利用设施管理（《固体法》第十三条）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spacing w:val="-6"/>
                <w:kern w:val="0"/>
                <w:sz w:val="24"/>
                <w:szCs w:val="24"/>
              </w:rPr>
            </w:pPr>
            <w:r>
              <w:rPr>
                <w:rFonts w:hint="eastAsia" w:ascii="仿宋_GB2312" w:hAnsi="宋体" w:eastAsia="仿宋_GB2312"/>
                <w:color w:val="000000"/>
                <w:spacing w:val="-6"/>
                <w:kern w:val="0"/>
                <w:sz w:val="24"/>
                <w:szCs w:val="24"/>
              </w:rPr>
              <w:t>22.依法进行环境影响评价，完成“三同时”验收。</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有环评材料，并完成“三同时”验收。</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环境影响评价文件中对危险废物利用设施进行了评价，且完成了“三同时”验收或在经核准的试生产期内。得2分。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环境影响评价文件中对危险废物利用设施进行了评价，但项目未完成“三同时”验收的。得1分。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3.</w:t>
            </w:r>
            <w:r>
              <w:rPr>
                <w:rFonts w:hint="eastAsia" w:ascii="仿宋_GB2312" w:hAnsi="宋体" w:eastAsia="仿宋_GB2312"/>
                <w:color w:val="000000"/>
                <w:kern w:val="0"/>
                <w:sz w:val="24"/>
                <w:szCs w:val="24"/>
              </w:rPr>
              <w:t>环境影响评价文件中未对危险废物利用设施进行评价。得0分。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资料检查（查看环评及批复、验收报告等）</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237" w:hRule="atLeast"/>
        </w:trPr>
        <w:tc>
          <w:tcPr>
            <w:tcW w:w="1384" w:type="dxa"/>
            <w:vMerge w:val="continue"/>
            <w:tcBorders>
              <w:top w:val="nil"/>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spacing w:val="-6"/>
                <w:kern w:val="0"/>
                <w:sz w:val="24"/>
                <w:szCs w:val="24"/>
              </w:rPr>
            </w:pPr>
            <w:r>
              <w:rPr>
                <w:rFonts w:hint="eastAsia" w:ascii="仿宋_GB2312" w:hAnsi="宋体" w:eastAsia="仿宋_GB2312"/>
                <w:color w:val="000000"/>
                <w:spacing w:val="-6"/>
                <w:kern w:val="0"/>
                <w:sz w:val="24"/>
                <w:szCs w:val="24"/>
              </w:rPr>
              <w:t>23.建立危险废物利用台账，并如实记录利用情况。</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有台账，并如实记录危险废物利用情况。</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建立了危险废物利用台账，如实记录危险废物利用的种类、数量、操作人员等基本情况，且定期进行汇总（每年至少汇总一次，并装订成册）。得1分。</w:t>
            </w: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2.未建立台账或台账记录与事实不符。得0分。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资料检查（查看台账记录）</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2729" w:hRule="atLeast"/>
        </w:trPr>
        <w:tc>
          <w:tcPr>
            <w:tcW w:w="1384"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十一、利用设施管理（《固体法》第十三条）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spacing w:val="-6"/>
                <w:kern w:val="0"/>
                <w:sz w:val="24"/>
                <w:szCs w:val="24"/>
              </w:rPr>
            </w:pPr>
            <w:r>
              <w:rPr>
                <w:rFonts w:hint="eastAsia" w:ascii="仿宋_GB2312" w:hAnsi="宋体" w:eastAsia="仿宋_GB2312"/>
                <w:color w:val="000000"/>
                <w:spacing w:val="-6"/>
                <w:kern w:val="0"/>
                <w:sz w:val="24"/>
                <w:szCs w:val="24"/>
              </w:rPr>
              <w:t>24.定期对利用设施污染物排放进行环境监测，并符合相关标准要求。</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监测项目及频次符合要求，有定期环境监测报告，并且污染物排放符合相关标准要求。</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1.近一年内按照管理要求项目及频次对污染物排放情况进行了监测，有环境监测报告，并且污染物排放符合环境影响评价文件及验收执行标准。得2分。</w:t>
            </w:r>
          </w:p>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2.近一年内有环境监测报告，并且污染物排放符合环境影响评价文件及验收执行标准，但监测项目或频次不足。得1分。</w:t>
            </w: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3</w:t>
            </w:r>
            <w:r>
              <w:rPr>
                <w:rFonts w:hint="eastAsia" w:ascii="仿宋_GB2312" w:eastAsia="仿宋_GB2312"/>
                <w:color w:val="000000"/>
                <w:kern w:val="0"/>
                <w:sz w:val="24"/>
                <w:szCs w:val="24"/>
              </w:rPr>
              <w:t>.</w:t>
            </w:r>
            <w:r>
              <w:rPr>
                <w:rFonts w:hint="eastAsia" w:ascii="仿宋_GB2312" w:hAnsi="宋体" w:eastAsia="仿宋_GB2312"/>
                <w:color w:val="000000"/>
                <w:kern w:val="0"/>
                <w:sz w:val="24"/>
                <w:szCs w:val="24"/>
              </w:rPr>
              <w:t>近一年内未对污染物排放情况进行监测，或污染物超标排放。得0分。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spacing w:val="-6"/>
                <w:kern w:val="0"/>
                <w:sz w:val="24"/>
                <w:szCs w:val="24"/>
              </w:rPr>
              <w:t>资料检查（查看环境监测报告）、现场核查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2479" w:hRule="atLeast"/>
        </w:trPr>
        <w:tc>
          <w:tcPr>
            <w:tcW w:w="1384" w:type="dxa"/>
            <w:vMerge w:val="restart"/>
            <w:tcBorders>
              <w:top w:val="nil"/>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十二、处置设施管理（《固体法》第十三条、五十五条）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spacing w:val="-6"/>
                <w:kern w:val="0"/>
                <w:sz w:val="24"/>
                <w:szCs w:val="24"/>
              </w:rPr>
            </w:pPr>
            <w:r>
              <w:rPr>
                <w:rFonts w:hint="eastAsia" w:ascii="仿宋_GB2312" w:hAnsi="宋体" w:eastAsia="仿宋_GB2312"/>
                <w:color w:val="000000"/>
                <w:spacing w:val="-6"/>
                <w:kern w:val="0"/>
                <w:sz w:val="24"/>
                <w:szCs w:val="24"/>
              </w:rPr>
              <w:t>25.依法进行环境影响评价，完成“三同时”验收。</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有环评材料，并完成“三同时”验收。</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环境影响评价文件中对危险废物处置设施进行了评价，且完成了“三同时”验收或在经核准的试生产期内。得2分。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2.</w:t>
            </w:r>
            <w:r>
              <w:rPr>
                <w:rFonts w:hint="eastAsia" w:ascii="仿宋_GB2312" w:hAnsi="宋体" w:eastAsia="仿宋_GB2312"/>
                <w:color w:val="000000"/>
                <w:kern w:val="0"/>
                <w:sz w:val="24"/>
                <w:szCs w:val="24"/>
              </w:rPr>
              <w:t>环境影响评价文件中对危险废物处置设施进行了评价，但项目未完成“三同时”验收。得1分。</w:t>
            </w:r>
            <w:r>
              <w:rPr>
                <w:rFonts w:hint="eastAsia" w:ascii="仿宋_GB2312" w:eastAsia="仿宋_GB2312"/>
                <w:color w:val="000000"/>
                <w:kern w:val="0"/>
                <w:sz w:val="24"/>
                <w:szCs w:val="24"/>
              </w:rPr>
              <w:br w:type="textWrapping"/>
            </w:r>
            <w:r>
              <w:rPr>
                <w:rFonts w:hint="eastAsia" w:ascii="仿宋_GB2312" w:eastAsia="仿宋_GB2312"/>
                <w:color w:val="000000"/>
                <w:kern w:val="0"/>
                <w:sz w:val="24"/>
                <w:szCs w:val="24"/>
              </w:rPr>
              <w:t>3.</w:t>
            </w:r>
            <w:r>
              <w:rPr>
                <w:rFonts w:hint="eastAsia" w:ascii="仿宋_GB2312" w:hAnsi="宋体" w:eastAsia="仿宋_GB2312"/>
                <w:color w:val="000000"/>
                <w:kern w:val="0"/>
                <w:sz w:val="24"/>
                <w:szCs w:val="24"/>
              </w:rPr>
              <w:t>环境影响评价文件中未对危险废物处置设施进行评价。得0分。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资料检查（查看环评及批复、验收报告等）</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1998" w:hRule="atLeast"/>
        </w:trPr>
        <w:tc>
          <w:tcPr>
            <w:tcW w:w="1384" w:type="dxa"/>
            <w:vMerge w:val="continue"/>
            <w:tcBorders>
              <w:top w:val="nil"/>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spacing w:val="-6"/>
                <w:kern w:val="0"/>
                <w:sz w:val="24"/>
                <w:szCs w:val="24"/>
              </w:rPr>
            </w:pPr>
            <w:r>
              <w:rPr>
                <w:rFonts w:hint="eastAsia" w:ascii="仿宋_GB2312" w:hAnsi="宋体" w:eastAsia="仿宋_GB2312"/>
                <w:color w:val="000000"/>
                <w:spacing w:val="-6"/>
                <w:kern w:val="0"/>
                <w:sz w:val="24"/>
                <w:szCs w:val="24"/>
              </w:rPr>
              <w:t>26.建立危险废物处置台账，并如实记录危险废物处置情况。</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有台账，并如实记录危险废物处置情况。</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1.</w:t>
            </w:r>
            <w:r>
              <w:rPr>
                <w:rFonts w:hint="eastAsia" w:ascii="仿宋_GB2312" w:hAnsi="宋体" w:eastAsia="仿宋_GB2312"/>
                <w:color w:val="000000"/>
                <w:kern w:val="0"/>
                <w:sz w:val="24"/>
                <w:szCs w:val="24"/>
              </w:rPr>
              <w:t>建立了危险废物处置台账，如实记录危险废物处置的种类、数量、操作人员等基本情况，且定期进行汇总（每年至少汇总一次，并装订成册）。得1分。</w:t>
            </w: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2.未建立台账或台账记录与事实不符。得0分。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资料检查（查看台账记录，并与处置情况核对）</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2825" w:hRule="atLeast"/>
        </w:trPr>
        <w:tc>
          <w:tcPr>
            <w:tcW w:w="1384"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十二、处置设施管理（《固体法》第十三条、五十五条）</w:t>
            </w:r>
          </w:p>
        </w:tc>
        <w:tc>
          <w:tcPr>
            <w:tcW w:w="1707"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spacing w:val="-6"/>
                <w:kern w:val="0"/>
                <w:sz w:val="24"/>
                <w:szCs w:val="24"/>
              </w:rPr>
            </w:pPr>
            <w:r>
              <w:rPr>
                <w:rFonts w:hint="eastAsia" w:ascii="仿宋_GB2312" w:hAnsi="宋体" w:eastAsia="仿宋_GB2312"/>
                <w:color w:val="000000"/>
                <w:spacing w:val="-6"/>
                <w:kern w:val="0"/>
                <w:sz w:val="24"/>
                <w:szCs w:val="24"/>
              </w:rPr>
              <w:t>27.定期对处置设施污染物排放进行环境监测，并符合《危险废物焚烧污染控制标准》、《危险废物填埋污染控制标准》等相关标准要求。</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eastAsia="仿宋_GB2312"/>
                <w:color w:val="000000"/>
                <w:kern w:val="0"/>
                <w:sz w:val="24"/>
                <w:szCs w:val="24"/>
              </w:rPr>
              <w:t>2</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c>
          <w:tcPr>
            <w:tcW w:w="213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有环境监测报告，并且污染物排放符合相关标准要求。</w:t>
            </w:r>
          </w:p>
        </w:tc>
        <w:tc>
          <w:tcPr>
            <w:tcW w:w="524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1.近一年内按照管理要求项目及频次对污染物排放情况进行了监测，有环境监测报告，并且污染物排放符合环境影响评价文件及验收执行标准。得2分。</w:t>
            </w:r>
          </w:p>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2.近一年内有环境监测报告，并且污染物排放符合环境影响评价文件及验收执行标准，但监测项目或频次不足。得1分。</w:t>
            </w:r>
            <w:r>
              <w:rPr>
                <w:rFonts w:hint="eastAsia" w:ascii="仿宋_GB2312" w:eastAsia="仿宋_GB2312"/>
                <w:color w:val="000000"/>
                <w:kern w:val="0"/>
                <w:sz w:val="24"/>
                <w:szCs w:val="24"/>
              </w:rPr>
              <w:br w:type="textWrapping"/>
            </w:r>
            <w:r>
              <w:rPr>
                <w:rFonts w:hint="eastAsia" w:ascii="仿宋_GB2312" w:hAnsi="宋体" w:eastAsia="仿宋_GB2312"/>
                <w:color w:val="000000"/>
                <w:kern w:val="0"/>
                <w:sz w:val="24"/>
                <w:szCs w:val="24"/>
              </w:rPr>
              <w:t>3</w:t>
            </w:r>
            <w:r>
              <w:rPr>
                <w:rFonts w:hint="eastAsia" w:ascii="仿宋_GB2312" w:eastAsia="仿宋_GB2312"/>
                <w:color w:val="000000"/>
                <w:kern w:val="0"/>
                <w:sz w:val="24"/>
                <w:szCs w:val="24"/>
              </w:rPr>
              <w:t>.</w:t>
            </w:r>
            <w:r>
              <w:rPr>
                <w:rFonts w:hint="eastAsia" w:ascii="仿宋_GB2312" w:hAnsi="宋体" w:eastAsia="仿宋_GB2312"/>
                <w:color w:val="000000"/>
                <w:kern w:val="0"/>
                <w:sz w:val="24"/>
                <w:szCs w:val="24"/>
              </w:rPr>
              <w:t>近一年内未对污染物排放情况进行监测，或污染物超标排放。得0分。</w:t>
            </w:r>
          </w:p>
        </w:tc>
        <w:tc>
          <w:tcPr>
            <w:tcW w:w="1422"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r>
              <w:rPr>
                <w:rFonts w:hint="eastAsia" w:ascii="仿宋_GB2312" w:hAnsi="宋体" w:eastAsia="仿宋_GB2312"/>
                <w:color w:val="000000"/>
                <w:kern w:val="0"/>
                <w:sz w:val="24"/>
                <w:szCs w:val="24"/>
              </w:rPr>
              <w:t>资料检查（对照相关标准查看环境监测报告）、现场核查</w:t>
            </w:r>
          </w:p>
        </w:tc>
        <w:tc>
          <w:tcPr>
            <w:tcW w:w="696"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eastAsia="仿宋_GB2312"/>
                <w:color w:val="000000"/>
                <w:kern w:val="0"/>
                <w:sz w:val="24"/>
                <w:szCs w:val="24"/>
              </w:rPr>
            </w:pPr>
          </w:p>
        </w:tc>
      </w:tr>
      <w:tr>
        <w:tblPrEx>
          <w:tblCellMar>
            <w:top w:w="0" w:type="dxa"/>
            <w:left w:w="108" w:type="dxa"/>
            <w:bottom w:w="0" w:type="dxa"/>
            <w:right w:w="108" w:type="dxa"/>
          </w:tblCellMar>
        </w:tblPrEx>
        <w:trPr>
          <w:trHeight w:val="409" w:hRule="atLeast"/>
        </w:trPr>
        <w:tc>
          <w:tcPr>
            <w:tcW w:w="3091"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hAnsi="宋体" w:eastAsia="仿宋_GB2312"/>
                <w:b/>
                <w:bCs/>
                <w:color w:val="000000"/>
                <w:kern w:val="0"/>
                <w:sz w:val="24"/>
                <w:szCs w:val="24"/>
              </w:rPr>
            </w:pPr>
            <w:r>
              <w:rPr>
                <w:rFonts w:hint="eastAsia" w:ascii="仿宋_GB2312" w:hAnsi="宋体" w:eastAsia="仿宋_GB2312"/>
                <w:b/>
                <w:bCs/>
                <w:color w:val="000000"/>
                <w:kern w:val="0"/>
                <w:sz w:val="24"/>
                <w:szCs w:val="24"/>
              </w:rPr>
              <w:t>合  计</w:t>
            </w:r>
          </w:p>
        </w:tc>
        <w:tc>
          <w:tcPr>
            <w:tcW w:w="709"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60</w:t>
            </w:r>
          </w:p>
        </w:tc>
        <w:tc>
          <w:tcPr>
            <w:tcW w:w="561" w:type="dxa"/>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p>
        </w:tc>
        <w:tc>
          <w:tcPr>
            <w:tcW w:w="9496" w:type="dxa"/>
            <w:gridSpan w:val="4"/>
            <w:tcBorders>
              <w:top w:val="single" w:color="auto" w:sz="4" w:space="0"/>
              <w:left w:val="nil"/>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w:t>
            </w:r>
          </w:p>
        </w:tc>
      </w:tr>
      <w:tr>
        <w:tblPrEx>
          <w:tblCellMar>
            <w:top w:w="0" w:type="dxa"/>
            <w:left w:w="108" w:type="dxa"/>
            <w:bottom w:w="0" w:type="dxa"/>
            <w:right w:w="108" w:type="dxa"/>
          </w:tblCellMar>
        </w:tblPrEx>
        <w:trPr>
          <w:trHeight w:val="285" w:hRule="atLeast"/>
        </w:trPr>
        <w:tc>
          <w:tcPr>
            <w:tcW w:w="13857" w:type="dxa"/>
            <w:gridSpan w:val="8"/>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综合评估：达标  □    基本达标 □   不达标□</w:t>
            </w:r>
          </w:p>
        </w:tc>
      </w:tr>
      <w:tr>
        <w:tblPrEx>
          <w:tblCellMar>
            <w:top w:w="0" w:type="dxa"/>
            <w:left w:w="108" w:type="dxa"/>
            <w:bottom w:w="0" w:type="dxa"/>
            <w:right w:w="108" w:type="dxa"/>
          </w:tblCellMar>
        </w:tblPrEx>
        <w:trPr>
          <w:trHeight w:val="1247" w:hRule="atLeast"/>
        </w:trPr>
        <w:tc>
          <w:tcPr>
            <w:tcW w:w="13857" w:type="dxa"/>
            <w:gridSpan w:val="8"/>
            <w:tcBorders>
              <w:top w:val="single" w:color="auto" w:sz="4" w:space="0"/>
              <w:left w:val="single" w:color="auto" w:sz="4" w:space="0"/>
              <w:bottom w:val="single" w:color="auto" w:sz="4" w:space="0"/>
              <w:right w:val="single" w:color="auto" w:sz="4" w:space="0"/>
            </w:tcBorders>
            <w:noWrap w:val="0"/>
            <w:vAlign w:val="center"/>
          </w:tcPr>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综合评估标准：</w:t>
            </w: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1.无自行利用或处置设施的产废企业满分为50分，40-50分为达标，30-39分为基本达标；29分及以下为不达标；有自行利用或处置设施的产废企业满分为55分，44-55分为达标，33-43分为基本达标，32分及以下为不达标；有自行利用和处置设施的产废企业满分为60分，48-60分为达标，36-47分为基本达标，35分及以下为不达标。</w:t>
            </w: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2.第12条为否决项，即该项不得分，则综合评估为不达标。</w:t>
            </w:r>
          </w:p>
          <w:p>
            <w:pPr>
              <w:widowControl/>
              <w:spacing w:line="300" w:lineRule="exact"/>
              <w:rPr>
                <w:rFonts w:hint="eastAsia" w:ascii="仿宋_GB2312" w:hAnsi="宋体" w:eastAsia="仿宋_GB2312"/>
                <w:color w:val="000000"/>
                <w:kern w:val="0"/>
                <w:sz w:val="24"/>
                <w:szCs w:val="24"/>
              </w:rPr>
            </w:pPr>
            <w:r>
              <w:rPr>
                <w:rFonts w:hint="eastAsia" w:ascii="仿宋_GB2312" w:hAnsi="宋体" w:eastAsia="仿宋_GB2312"/>
                <w:color w:val="000000"/>
                <w:kern w:val="0"/>
                <w:sz w:val="24"/>
                <w:szCs w:val="24"/>
              </w:rPr>
              <w:t>3.考核年度内企业由于危险废物管理不当发生了突发环境事件的（参照《国家突发环境事件应急预案》中规定），综合评估为不达标。</w:t>
            </w:r>
          </w:p>
        </w:tc>
      </w:tr>
    </w:tbl>
    <w:p>
      <w:pPr>
        <w:widowControl/>
        <w:snapToGrid w:val="0"/>
        <w:spacing w:line="600" w:lineRule="exact"/>
        <w:ind w:left="360" w:hanging="360"/>
        <w:rPr>
          <w:rFonts w:hint="eastAsia" w:ascii="仿宋_GB2312" w:hAnsi="宋体" w:eastAsia="仿宋_GB2312"/>
          <w:color w:val="000000"/>
          <w:kern w:val="0"/>
          <w:sz w:val="24"/>
          <w:szCs w:val="24"/>
        </w:rPr>
      </w:pPr>
    </w:p>
    <w:p>
      <w:pPr>
        <w:spacing w:line="600" w:lineRule="exact"/>
        <w:ind w:right="102"/>
        <w:rPr>
          <w:rFonts w:hint="eastAsia" w:ascii="仿宋_GB2312" w:eastAsia="仿宋_GB2312" w:cs="仿宋_GB2312"/>
          <w:color w:val="000000"/>
          <w:kern w:val="0"/>
          <w:sz w:val="24"/>
          <w:szCs w:val="24"/>
          <w:lang w:bidi="ar"/>
        </w:rPr>
        <w:sectPr>
          <w:pgSz w:w="16838" w:h="11906" w:orient="landscape"/>
          <w:pgMar w:top="1800" w:right="1440" w:bottom="1800" w:left="1497" w:header="851" w:footer="992" w:gutter="0"/>
          <w:pgNumType w:fmt="numberInDash"/>
          <w:cols w:space="720" w:num="1"/>
          <w:docGrid w:type="lines" w:linePitch="312" w:charSpace="0"/>
        </w:sectPr>
      </w:pPr>
    </w:p>
    <w:p>
      <w:pPr>
        <w:spacing w:line="600" w:lineRule="exact"/>
        <w:rPr>
          <w:rFonts w:hint="eastAsia" w:ascii="黑体" w:hAnsi="黑体" w:eastAsia="黑体" w:cs="黑体"/>
          <w:color w:val="000000"/>
          <w:sz w:val="32"/>
          <w:szCs w:val="32"/>
        </w:rPr>
      </w:pPr>
      <w:r>
        <w:rPr>
          <w:rFonts w:hint="eastAsia" w:ascii="黑体" w:hAnsi="黑体" w:eastAsia="黑体" w:cs="黑体"/>
          <w:color w:val="000000"/>
          <w:sz w:val="32"/>
          <w:szCs w:val="32"/>
          <w:lang w:bidi="ar"/>
        </w:rPr>
        <w:t>附件3</w:t>
      </w:r>
    </w:p>
    <w:p>
      <w:pPr>
        <w:spacing w:line="600" w:lineRule="exact"/>
        <w:rPr>
          <w:rFonts w:hint="eastAsia" w:ascii="黑体" w:eastAsia="黑体" w:cs="黑体"/>
          <w:color w:val="000000"/>
          <w:szCs w:val="32"/>
        </w:rPr>
      </w:pPr>
    </w:p>
    <w:p>
      <w:pPr>
        <w:spacing w:line="600" w:lineRule="exact"/>
        <w:jc w:val="center"/>
        <w:rPr>
          <w:rFonts w:hint="eastAsia" w:ascii="方正小标宋简体" w:eastAsia="方正小标宋简体" w:cs="华文中宋"/>
          <w:b/>
          <w:color w:val="000000"/>
          <w:kern w:val="0"/>
          <w:sz w:val="44"/>
          <w:szCs w:val="44"/>
        </w:rPr>
      </w:pPr>
      <w:r>
        <w:rPr>
          <w:rFonts w:hint="eastAsia" w:ascii="方正小标宋简体" w:eastAsia="方正小标宋简体" w:cs="华文中宋"/>
          <w:b/>
          <w:snapToGrid w:val="0"/>
          <w:color w:val="000000"/>
          <w:kern w:val="0"/>
          <w:sz w:val="44"/>
          <w:szCs w:val="44"/>
          <w:lang w:bidi="ar"/>
        </w:rPr>
        <w:t>被抽查单位基本情况记录表</w:t>
      </w:r>
    </w:p>
    <w:tbl>
      <w:tblPr>
        <w:tblStyle w:val="4"/>
        <w:tblW w:w="0" w:type="auto"/>
        <w:jc w:val="center"/>
        <w:tblLayout w:type="fixed"/>
        <w:tblCellMar>
          <w:top w:w="0" w:type="dxa"/>
          <w:left w:w="108" w:type="dxa"/>
          <w:bottom w:w="0" w:type="dxa"/>
          <w:right w:w="108" w:type="dxa"/>
        </w:tblCellMar>
      </w:tblPr>
      <w:tblGrid>
        <w:gridCol w:w="806"/>
        <w:gridCol w:w="1451"/>
        <w:gridCol w:w="967"/>
        <w:gridCol w:w="1613"/>
        <w:gridCol w:w="2258"/>
        <w:gridCol w:w="2097"/>
        <w:gridCol w:w="1452"/>
        <w:gridCol w:w="1124"/>
        <w:gridCol w:w="1092"/>
      </w:tblGrid>
      <w:tr>
        <w:tblPrEx>
          <w:tblCellMar>
            <w:top w:w="0" w:type="dxa"/>
            <w:left w:w="108" w:type="dxa"/>
            <w:bottom w:w="0" w:type="dxa"/>
            <w:right w:w="108" w:type="dxa"/>
          </w:tblCellMar>
        </w:tblPrEx>
        <w:trPr>
          <w:trHeight w:val="1411" w:hRule="atLeast"/>
          <w:jc w:val="center"/>
        </w:trPr>
        <w:tc>
          <w:tcPr>
            <w:tcW w:w="806" w:type="dxa"/>
            <w:tcBorders>
              <w:top w:val="single" w:color="auto" w:sz="4" w:space="0"/>
              <w:left w:val="single" w:color="auto" w:sz="4" w:space="0"/>
              <w:bottom w:val="single" w:color="auto" w:sz="4" w:space="0"/>
              <w:right w:val="single" w:color="auto" w:sz="4" w:space="0"/>
            </w:tcBorders>
            <w:noWrap w:val="0"/>
            <w:vAlign w:val="center"/>
          </w:tcPr>
          <w:p>
            <w:pPr>
              <w:widowControl/>
              <w:spacing w:line="600" w:lineRule="exact"/>
              <w:rPr>
                <w:rFonts w:hint="eastAsia" w:ascii="仿宋_GB2312" w:eastAsia="仿宋_GB2312" w:cs="仿宋_GB2312"/>
                <w:b/>
                <w:color w:val="000000"/>
                <w:sz w:val="28"/>
              </w:rPr>
            </w:pPr>
            <w:r>
              <w:rPr>
                <w:rFonts w:hint="eastAsia" w:ascii="仿宋_GB2312" w:eastAsia="仿宋_GB2312" w:cs="仿宋_GB2312"/>
                <w:b/>
                <w:color w:val="000000"/>
                <w:sz w:val="28"/>
                <w:lang w:bidi="ar"/>
              </w:rPr>
              <w:t>序号</w:t>
            </w:r>
          </w:p>
        </w:tc>
        <w:tc>
          <w:tcPr>
            <w:tcW w:w="1451"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b/>
                <w:color w:val="000000"/>
                <w:sz w:val="28"/>
              </w:rPr>
            </w:pPr>
            <w:r>
              <w:rPr>
                <w:rFonts w:hint="eastAsia" w:ascii="仿宋_GB2312" w:eastAsia="仿宋_GB2312" w:cs="仿宋_GB2312"/>
                <w:b/>
                <w:color w:val="000000"/>
                <w:sz w:val="28"/>
                <w:lang w:bidi="ar"/>
              </w:rPr>
              <w:t>单位名称</w:t>
            </w:r>
          </w:p>
        </w:tc>
        <w:tc>
          <w:tcPr>
            <w:tcW w:w="967"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b/>
                <w:color w:val="000000"/>
                <w:sz w:val="28"/>
              </w:rPr>
            </w:pPr>
            <w:r>
              <w:rPr>
                <w:rFonts w:hint="eastAsia" w:ascii="仿宋_GB2312" w:eastAsia="仿宋_GB2312" w:cs="仿宋_GB2312"/>
                <w:b/>
                <w:color w:val="000000"/>
                <w:sz w:val="28"/>
                <w:lang w:bidi="ar"/>
              </w:rPr>
              <w:t>检查时间</w:t>
            </w:r>
          </w:p>
        </w:tc>
        <w:tc>
          <w:tcPr>
            <w:tcW w:w="1613" w:type="dxa"/>
            <w:tcBorders>
              <w:top w:val="single" w:color="auto" w:sz="4" w:space="0"/>
              <w:left w:val="nil"/>
              <w:bottom w:val="single" w:color="auto" w:sz="4" w:space="0"/>
              <w:right w:val="single" w:color="auto" w:sz="4" w:space="0"/>
            </w:tcBorders>
            <w:noWrap w:val="0"/>
            <w:vAlign w:val="center"/>
          </w:tcPr>
          <w:p>
            <w:pPr>
              <w:widowControl/>
              <w:spacing w:line="360" w:lineRule="exact"/>
              <w:rPr>
                <w:rFonts w:hint="eastAsia" w:ascii="仿宋_GB2312" w:eastAsia="仿宋_GB2312" w:cs="仿宋_GB2312"/>
                <w:b/>
                <w:color w:val="000000"/>
                <w:sz w:val="28"/>
              </w:rPr>
            </w:pPr>
            <w:r>
              <w:rPr>
                <w:rFonts w:hint="eastAsia" w:ascii="仿宋_GB2312" w:eastAsia="仿宋_GB2312" w:cs="仿宋_GB2312"/>
                <w:b/>
                <w:color w:val="000000"/>
                <w:sz w:val="28"/>
                <w:lang w:bidi="ar"/>
              </w:rPr>
              <w:t>单位类型</w:t>
            </w:r>
            <w:r>
              <w:rPr>
                <w:rFonts w:hint="eastAsia" w:ascii="仿宋_GB2312" w:eastAsia="仿宋_GB2312" w:cs="仿宋_GB2312"/>
                <w:color w:val="000000"/>
                <w:szCs w:val="21"/>
                <w:lang w:bidi="ar"/>
              </w:rPr>
              <w:t>（经营单位或产废单位）</w:t>
            </w:r>
          </w:p>
        </w:tc>
        <w:tc>
          <w:tcPr>
            <w:tcW w:w="2258" w:type="dxa"/>
            <w:tcBorders>
              <w:top w:val="single" w:color="auto" w:sz="4" w:space="0"/>
              <w:left w:val="nil"/>
              <w:bottom w:val="single" w:color="auto" w:sz="4" w:space="0"/>
              <w:right w:val="single" w:color="auto" w:sz="4" w:space="0"/>
            </w:tcBorders>
            <w:noWrap w:val="0"/>
            <w:vAlign w:val="center"/>
          </w:tcPr>
          <w:p>
            <w:pPr>
              <w:widowControl/>
              <w:spacing w:line="360" w:lineRule="exact"/>
              <w:rPr>
                <w:rFonts w:hint="eastAsia" w:ascii="仿宋_GB2312" w:eastAsia="仿宋_GB2312" w:cs="仿宋_GB2312"/>
                <w:b/>
                <w:color w:val="000000"/>
                <w:sz w:val="28"/>
                <w:lang w:bidi="ar"/>
              </w:rPr>
            </w:pPr>
            <w:r>
              <w:rPr>
                <w:rFonts w:hint="eastAsia" w:ascii="仿宋_GB2312" w:eastAsia="仿宋_GB2312" w:cs="仿宋_GB2312"/>
                <w:b/>
                <w:color w:val="000000"/>
                <w:sz w:val="28"/>
                <w:lang w:bidi="ar"/>
              </w:rPr>
              <w:t>企业基本情况</w:t>
            </w:r>
          </w:p>
          <w:p>
            <w:pPr>
              <w:widowControl/>
              <w:spacing w:line="360" w:lineRule="exact"/>
              <w:rPr>
                <w:rFonts w:hint="eastAsia" w:ascii="仿宋_GB2312" w:eastAsia="仿宋_GB2312" w:cs="仿宋_GB2312"/>
                <w:b/>
                <w:color w:val="000000"/>
                <w:sz w:val="28"/>
              </w:rPr>
            </w:pPr>
            <w:r>
              <w:rPr>
                <w:rFonts w:hint="eastAsia" w:ascii="仿宋_GB2312" w:eastAsia="仿宋_GB2312" w:cs="仿宋_GB2312"/>
                <w:color w:val="000000"/>
                <w:szCs w:val="21"/>
                <w:lang w:bidi="ar"/>
              </w:rPr>
              <w:t>（主要产品产量，简单工艺描述）</w:t>
            </w:r>
          </w:p>
        </w:tc>
        <w:tc>
          <w:tcPr>
            <w:tcW w:w="2097" w:type="dxa"/>
            <w:tcBorders>
              <w:top w:val="single" w:color="auto" w:sz="4" w:space="0"/>
              <w:left w:val="nil"/>
              <w:bottom w:val="single" w:color="auto" w:sz="4" w:space="0"/>
              <w:right w:val="single" w:color="auto" w:sz="4" w:space="0"/>
            </w:tcBorders>
            <w:noWrap w:val="0"/>
            <w:vAlign w:val="center"/>
          </w:tcPr>
          <w:p>
            <w:pPr>
              <w:widowControl/>
              <w:spacing w:line="360" w:lineRule="exact"/>
              <w:rPr>
                <w:rFonts w:hint="eastAsia" w:ascii="仿宋_GB2312" w:eastAsia="仿宋_GB2312" w:cs="仿宋_GB2312"/>
                <w:b/>
                <w:color w:val="000000"/>
                <w:sz w:val="28"/>
              </w:rPr>
            </w:pPr>
            <w:r>
              <w:rPr>
                <w:rFonts w:hint="eastAsia" w:ascii="仿宋_GB2312" w:eastAsia="仿宋_GB2312" w:cs="仿宋_GB2312"/>
                <w:b/>
                <w:color w:val="000000"/>
                <w:sz w:val="28"/>
                <w:lang w:bidi="ar"/>
              </w:rPr>
              <w:t>危险废物产生情况</w:t>
            </w:r>
            <w:r>
              <w:rPr>
                <w:rFonts w:hint="eastAsia" w:ascii="仿宋_GB2312" w:eastAsia="仿宋_GB2312" w:cs="仿宋_GB2312"/>
                <w:color w:val="000000"/>
                <w:szCs w:val="21"/>
                <w:lang w:bidi="ar"/>
              </w:rPr>
              <w:t>（危险废物种类和大致产生量）</w:t>
            </w:r>
          </w:p>
        </w:tc>
        <w:tc>
          <w:tcPr>
            <w:tcW w:w="1452"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b/>
                <w:color w:val="000000"/>
                <w:sz w:val="28"/>
              </w:rPr>
            </w:pPr>
            <w:r>
              <w:rPr>
                <w:rFonts w:hint="eastAsia" w:ascii="仿宋_GB2312" w:eastAsia="仿宋_GB2312" w:cs="仿宋_GB2312"/>
                <w:b/>
                <w:color w:val="000000"/>
                <w:sz w:val="28"/>
                <w:lang w:bidi="ar"/>
              </w:rPr>
              <w:t>检查发现的问题</w:t>
            </w:r>
          </w:p>
        </w:tc>
        <w:tc>
          <w:tcPr>
            <w:tcW w:w="1124"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b/>
                <w:color w:val="000000"/>
                <w:sz w:val="28"/>
              </w:rPr>
            </w:pPr>
            <w:r>
              <w:rPr>
                <w:rFonts w:hint="eastAsia" w:ascii="仿宋_GB2312" w:eastAsia="仿宋_GB2312" w:cs="仿宋_GB2312"/>
                <w:b/>
                <w:color w:val="000000"/>
                <w:sz w:val="28"/>
                <w:lang w:bidi="ar"/>
              </w:rPr>
              <w:t>备注</w:t>
            </w:r>
          </w:p>
        </w:tc>
        <w:tc>
          <w:tcPr>
            <w:tcW w:w="1092"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b/>
                <w:color w:val="000000"/>
                <w:sz w:val="28"/>
              </w:rPr>
            </w:pPr>
            <w:r>
              <w:rPr>
                <w:rFonts w:hint="eastAsia" w:ascii="仿宋_GB2312" w:eastAsia="仿宋_GB2312" w:cs="仿宋_GB2312"/>
                <w:b/>
                <w:color w:val="000000"/>
                <w:sz w:val="28"/>
                <w:lang w:bidi="ar"/>
              </w:rPr>
              <w:t>检查人</w:t>
            </w:r>
          </w:p>
        </w:tc>
      </w:tr>
      <w:tr>
        <w:tblPrEx>
          <w:tblCellMar>
            <w:top w:w="0" w:type="dxa"/>
            <w:left w:w="108" w:type="dxa"/>
            <w:bottom w:w="0" w:type="dxa"/>
            <w:right w:w="108" w:type="dxa"/>
          </w:tblCellMar>
        </w:tblPrEx>
        <w:trPr>
          <w:trHeight w:val="1540" w:hRule="atLeast"/>
          <w:jc w:val="center"/>
        </w:trPr>
        <w:tc>
          <w:tcPr>
            <w:tcW w:w="806" w:type="dxa"/>
            <w:tcBorders>
              <w:top w:val="nil"/>
              <w:left w:val="single" w:color="auto" w:sz="4" w:space="0"/>
              <w:bottom w:val="single" w:color="auto" w:sz="4" w:space="0"/>
              <w:right w:val="single" w:color="auto" w:sz="4" w:space="0"/>
            </w:tcBorders>
            <w:noWrap w:val="0"/>
            <w:vAlign w:val="center"/>
          </w:tcPr>
          <w:p>
            <w:pPr>
              <w:widowControl/>
              <w:spacing w:line="600" w:lineRule="exact"/>
              <w:rPr>
                <w:rFonts w:hint="eastAsia" w:ascii="仿宋_GB2312" w:eastAsia="仿宋_GB2312" w:cs="仿宋_GB2312"/>
                <w:color w:val="000000"/>
                <w:sz w:val="28"/>
              </w:rPr>
            </w:pPr>
          </w:p>
        </w:tc>
        <w:tc>
          <w:tcPr>
            <w:tcW w:w="1451"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color w:val="000000"/>
                <w:sz w:val="28"/>
              </w:rPr>
            </w:pPr>
          </w:p>
        </w:tc>
        <w:tc>
          <w:tcPr>
            <w:tcW w:w="967"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color w:val="000000"/>
                <w:sz w:val="28"/>
              </w:rPr>
            </w:pPr>
          </w:p>
        </w:tc>
        <w:tc>
          <w:tcPr>
            <w:tcW w:w="1613"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color w:val="000000"/>
                <w:sz w:val="24"/>
                <w:szCs w:val="24"/>
              </w:rPr>
            </w:pPr>
          </w:p>
        </w:tc>
        <w:tc>
          <w:tcPr>
            <w:tcW w:w="2258"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color w:val="000000"/>
                <w:sz w:val="24"/>
                <w:szCs w:val="24"/>
              </w:rPr>
            </w:pPr>
          </w:p>
        </w:tc>
        <w:tc>
          <w:tcPr>
            <w:tcW w:w="2097"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color w:val="000000"/>
                <w:sz w:val="24"/>
                <w:szCs w:val="24"/>
              </w:rPr>
            </w:pPr>
          </w:p>
        </w:tc>
        <w:tc>
          <w:tcPr>
            <w:tcW w:w="1452"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color w:val="000000"/>
                <w:sz w:val="28"/>
              </w:rPr>
            </w:pPr>
          </w:p>
        </w:tc>
        <w:tc>
          <w:tcPr>
            <w:tcW w:w="1124"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color w:val="000000"/>
                <w:sz w:val="28"/>
              </w:rPr>
            </w:pPr>
          </w:p>
        </w:tc>
        <w:tc>
          <w:tcPr>
            <w:tcW w:w="1092"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eastAsia="仿宋_GB2312" w:cs="仿宋_GB2312"/>
                <w:color w:val="000000"/>
                <w:sz w:val="28"/>
              </w:rPr>
            </w:pPr>
          </w:p>
        </w:tc>
      </w:tr>
      <w:tr>
        <w:tblPrEx>
          <w:tblCellMar>
            <w:top w:w="0" w:type="dxa"/>
            <w:left w:w="108" w:type="dxa"/>
            <w:bottom w:w="0" w:type="dxa"/>
            <w:right w:w="108" w:type="dxa"/>
          </w:tblCellMar>
        </w:tblPrEx>
        <w:trPr>
          <w:trHeight w:val="1522" w:hRule="atLeast"/>
          <w:jc w:val="center"/>
        </w:trPr>
        <w:tc>
          <w:tcPr>
            <w:tcW w:w="806" w:type="dxa"/>
            <w:tcBorders>
              <w:top w:val="nil"/>
              <w:left w:val="single" w:color="auto" w:sz="4" w:space="0"/>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451"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967"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613"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2258"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2097"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452"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124"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092" w:type="dxa"/>
            <w:tcBorders>
              <w:top w:val="nil"/>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r>
      <w:tr>
        <w:tblPrEx>
          <w:tblCellMar>
            <w:top w:w="0" w:type="dxa"/>
            <w:left w:w="108" w:type="dxa"/>
            <w:bottom w:w="0" w:type="dxa"/>
            <w:right w:w="108" w:type="dxa"/>
          </w:tblCellMar>
        </w:tblPrEx>
        <w:trPr>
          <w:trHeight w:val="1522" w:hRule="atLeast"/>
          <w:jc w:val="center"/>
        </w:trPr>
        <w:tc>
          <w:tcPr>
            <w:tcW w:w="806" w:type="dxa"/>
            <w:tcBorders>
              <w:top w:val="single" w:color="auto" w:sz="4" w:space="0"/>
              <w:left w:val="single" w:color="auto" w:sz="4" w:space="0"/>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451"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967"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613"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2258"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2097"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452"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124"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c>
          <w:tcPr>
            <w:tcW w:w="1092" w:type="dxa"/>
            <w:tcBorders>
              <w:top w:val="single" w:color="auto" w:sz="4" w:space="0"/>
              <w:left w:val="nil"/>
              <w:bottom w:val="single" w:color="auto" w:sz="4" w:space="0"/>
              <w:right w:val="single" w:color="auto" w:sz="4" w:space="0"/>
            </w:tcBorders>
            <w:noWrap w:val="0"/>
            <w:vAlign w:val="center"/>
          </w:tcPr>
          <w:p>
            <w:pPr>
              <w:widowControl/>
              <w:spacing w:line="600" w:lineRule="exact"/>
              <w:rPr>
                <w:rFonts w:hint="eastAsia" w:ascii="仿宋_GB2312" w:hAnsi="仿宋_GB2312" w:cs="仿宋_GB2312"/>
                <w:color w:val="000000"/>
                <w:sz w:val="28"/>
              </w:rPr>
            </w:pPr>
          </w:p>
        </w:tc>
      </w:tr>
    </w:tbl>
    <w:p>
      <w:pPr>
        <w:spacing w:line="600" w:lineRule="exact"/>
        <w:rPr>
          <w:rFonts w:hint="eastAsia" w:ascii="仿宋_GB2312" w:eastAsia="仿宋_GB2312"/>
          <w:color w:val="000000"/>
          <w:sz w:val="32"/>
          <w:szCs w:val="32"/>
          <w:lang w:bidi="ar"/>
        </w:rPr>
        <w:sectPr>
          <w:pgSz w:w="16838" w:h="11906" w:orient="landscape"/>
          <w:pgMar w:top="1800" w:right="1440" w:bottom="1800" w:left="1440" w:header="851" w:footer="992" w:gutter="0"/>
          <w:pgNumType w:fmt="numberInDash"/>
          <w:cols w:space="720" w:num="1"/>
          <w:docGrid w:type="lines" w:linePitch="312" w:charSpace="0"/>
        </w:sectPr>
      </w:pPr>
    </w:p>
    <w:p>
      <w:pPr>
        <w:spacing w:line="600" w:lineRule="exact"/>
        <w:rPr>
          <w:rFonts w:hint="eastAsia" w:ascii="方正小标宋简体" w:hAnsi="宋体" w:eastAsia="方正小标宋简体" w:cs="宋体"/>
          <w:color w:val="000000"/>
          <w:sz w:val="36"/>
          <w:szCs w:val="36"/>
          <w:lang w:bidi="ar"/>
        </w:rPr>
      </w:pPr>
      <w:r>
        <w:rPr>
          <w:rFonts w:hint="eastAsia" w:ascii="黑体" w:hAnsi="黑体" w:eastAsia="黑体" w:cs="黑体"/>
          <w:color w:val="000000"/>
          <w:sz w:val="32"/>
          <w:szCs w:val="32"/>
          <w:lang w:bidi="ar"/>
        </w:rPr>
        <w:t>附件4</w:t>
      </w:r>
    </w:p>
    <w:p>
      <w:pPr>
        <w:spacing w:line="600" w:lineRule="exact"/>
        <w:rPr>
          <w:rFonts w:hint="eastAsia" w:ascii="方正小标宋简体" w:hAnsi="宋体" w:eastAsia="方正小标宋简体" w:cs="宋体"/>
          <w:color w:val="000000"/>
          <w:sz w:val="36"/>
          <w:szCs w:val="36"/>
          <w:lang w:bidi="ar"/>
        </w:rPr>
      </w:pPr>
    </w:p>
    <w:p>
      <w:pPr>
        <w:spacing w:line="600" w:lineRule="exact"/>
        <w:jc w:val="center"/>
        <w:rPr>
          <w:rFonts w:hint="eastAsia" w:ascii="方正小标宋简体" w:hAnsi="宋体" w:eastAsia="方正小标宋简体" w:cs="宋体"/>
          <w:color w:val="000000"/>
          <w:sz w:val="44"/>
          <w:szCs w:val="44"/>
          <w:lang w:bidi="ar"/>
        </w:rPr>
      </w:pPr>
      <w:r>
        <w:rPr>
          <w:rFonts w:hint="eastAsia" w:ascii="方正小标宋简体" w:hAnsi="宋体" w:eastAsia="方正小标宋简体" w:cs="宋体"/>
          <w:color w:val="000000"/>
          <w:sz w:val="44"/>
          <w:szCs w:val="44"/>
          <w:lang w:bidi="ar"/>
        </w:rPr>
        <w:t>重点产废企业识别</w:t>
      </w:r>
    </w:p>
    <w:p>
      <w:pPr>
        <w:spacing w:line="600" w:lineRule="exact"/>
        <w:jc w:val="center"/>
        <w:rPr>
          <w:rFonts w:hint="eastAsia" w:ascii="方正小标宋简体" w:hAnsi="宋体" w:eastAsia="方正小标宋简体" w:cs="宋体"/>
          <w:color w:val="000000"/>
          <w:sz w:val="44"/>
          <w:szCs w:val="44"/>
          <w:lang w:bidi="ar"/>
        </w:rPr>
      </w:pPr>
    </w:p>
    <w:p>
      <w:pPr>
        <w:spacing w:line="600" w:lineRule="exact"/>
        <w:ind w:firstLine="640" w:firstLineChars="200"/>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1.重点企业:国控、省控危险废物重点企业;年产生或贮存危险废物超过(含)l00吨的企业;涉危险废物投诉举报每年超过2次且经查实的、有严重违法违规记录、涉危险废物环境安全隐患突出的企业;省内有条件、但长期贮存不及时利用处置且危险废物贮存量超10吨的企业;上年度危险废物规范化管理考核不达标的企业;危险废物跨区域转移量在本辖区排名前五名的产废单位。</w:t>
      </w:r>
    </w:p>
    <w:p>
      <w:pPr>
        <w:spacing w:line="600" w:lineRule="exact"/>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 xml:space="preserve">    2.重点行业:涉及排放重金属、三致(致畸致癌致突变)</w:t>
      </w:r>
    </w:p>
    <w:p>
      <w:pPr>
        <w:spacing w:line="600" w:lineRule="exact"/>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物质、持久性有机污染物及医疗废物等的有色金属、石化、化工、医药、印刷线路板、电镀、皮革、合成革、铅酸蓄电池、生活垃圾焚烧等行业;非法转移、倾倒、处置案件频发的行业;上年度危险废物规范化管理考核平均达标率低的行业。</w:t>
      </w:r>
    </w:p>
    <w:p>
      <w:pPr>
        <w:spacing w:line="600" w:lineRule="exact"/>
        <w:rPr>
          <w:rFonts w:hint="eastAsia" w:ascii="仿宋_GB2312" w:eastAsia="仿宋_GB2312" w:cs="仿宋_GB2312"/>
          <w:color w:val="000000"/>
          <w:sz w:val="32"/>
          <w:szCs w:val="32"/>
          <w:lang w:bidi="ar"/>
        </w:rPr>
      </w:pPr>
      <w:r>
        <w:rPr>
          <w:rFonts w:hint="eastAsia" w:ascii="仿宋_GB2312" w:eastAsia="仿宋_GB2312" w:cs="仿宋_GB2312"/>
          <w:color w:val="000000"/>
          <w:sz w:val="32"/>
          <w:szCs w:val="32"/>
          <w:lang w:bidi="ar"/>
        </w:rPr>
        <w:t xml:space="preserve">    3.其他企业。除重点企业外的一般企业和年产生危险废物小于1吨的小微企业。</w:t>
      </w:r>
    </w:p>
    <w:p>
      <w:pPr>
        <w:spacing w:line="600" w:lineRule="exact"/>
        <w:rPr>
          <w:rFonts w:hint="eastAsia" w:ascii="黑体" w:hAnsi="黑体" w:eastAsia="黑体" w:cs="黑体"/>
          <w:color w:val="000000"/>
          <w:sz w:val="32"/>
          <w:szCs w:val="32"/>
          <w:lang w:bidi="ar"/>
        </w:rPr>
      </w:pPr>
    </w:p>
    <w:p>
      <w:pPr>
        <w:spacing w:line="600" w:lineRule="exact"/>
        <w:rPr>
          <w:rFonts w:hint="eastAsia" w:ascii="黑体" w:hAnsi="黑体" w:eastAsia="黑体" w:cs="黑体"/>
          <w:color w:val="000000"/>
          <w:sz w:val="32"/>
          <w:szCs w:val="32"/>
          <w:lang w:bidi="ar"/>
        </w:rPr>
      </w:pPr>
    </w:p>
    <w:p>
      <w:pPr>
        <w:spacing w:line="600" w:lineRule="exact"/>
        <w:rPr>
          <w:rFonts w:hint="eastAsia" w:ascii="黑体" w:hAnsi="黑体" w:eastAsia="黑体" w:cs="黑体"/>
          <w:color w:val="000000"/>
          <w:sz w:val="32"/>
          <w:szCs w:val="32"/>
          <w:lang w:bidi="ar"/>
        </w:rPr>
      </w:pPr>
    </w:p>
    <w:p>
      <w:pPr>
        <w:spacing w:line="600" w:lineRule="exact"/>
        <w:rPr>
          <w:rFonts w:hint="eastAsia" w:ascii="黑体" w:hAnsi="黑体" w:eastAsia="黑体" w:cs="黑体"/>
          <w:color w:val="000000"/>
          <w:sz w:val="32"/>
          <w:szCs w:val="32"/>
          <w:lang w:bidi="ar"/>
        </w:rPr>
      </w:pPr>
    </w:p>
    <w:p>
      <w:pPr>
        <w:spacing w:line="600" w:lineRule="exact"/>
        <w:rPr>
          <w:rFonts w:hint="eastAsia" w:ascii="黑体" w:hAnsi="黑体" w:eastAsia="黑体" w:cs="黑体"/>
          <w:color w:val="000000"/>
          <w:sz w:val="32"/>
          <w:szCs w:val="32"/>
        </w:rPr>
      </w:pPr>
      <w:r>
        <w:rPr>
          <w:rFonts w:hint="eastAsia" w:ascii="黑体" w:hAnsi="黑体" w:eastAsia="黑体" w:cs="黑体"/>
          <w:color w:val="000000"/>
          <w:sz w:val="32"/>
          <w:szCs w:val="32"/>
          <w:lang w:bidi="ar"/>
        </w:rPr>
        <w:t>附件5</w:t>
      </w:r>
    </w:p>
    <w:p>
      <w:pPr>
        <w:spacing w:line="600" w:lineRule="exact"/>
        <w:rPr>
          <w:rFonts w:hint="eastAsia" w:ascii="方正小标宋简体" w:hAnsi="宋体" w:eastAsia="方正小标宋简体" w:cs="宋体"/>
          <w:color w:val="000000"/>
          <w:sz w:val="36"/>
          <w:szCs w:val="36"/>
          <w:lang w:bidi="ar"/>
        </w:rPr>
      </w:pPr>
    </w:p>
    <w:p>
      <w:pPr>
        <w:spacing w:line="600" w:lineRule="exact"/>
        <w:jc w:val="center"/>
        <w:rPr>
          <w:rFonts w:hint="eastAsia" w:ascii="方正小标宋简体" w:hAnsi="宋体" w:eastAsia="方正小标宋简体" w:cs="宋体"/>
          <w:color w:val="000000"/>
          <w:sz w:val="44"/>
          <w:szCs w:val="44"/>
        </w:rPr>
      </w:pPr>
      <w:r>
        <w:rPr>
          <w:rFonts w:hint="eastAsia" w:ascii="方正小标宋简体" w:hAnsi="宋体" w:eastAsia="方正小标宋简体" w:cs="宋体"/>
          <w:color w:val="000000"/>
          <w:sz w:val="44"/>
          <w:szCs w:val="44"/>
          <w:lang w:bidi="ar"/>
        </w:rPr>
        <w:t>产废单位管理要求</w:t>
      </w:r>
    </w:p>
    <w:p>
      <w:pPr>
        <w:spacing w:line="600" w:lineRule="exact"/>
        <w:ind w:firstLine="643" w:firstLineChars="200"/>
        <w:rPr>
          <w:rFonts w:hint="eastAsia" w:ascii="仿宋_GB2312" w:eastAsia="仿宋_GB2312" w:cs="仿宋_GB2312"/>
          <w:b/>
          <w:color w:val="000000"/>
          <w:sz w:val="32"/>
          <w:szCs w:val="32"/>
        </w:rPr>
      </w:pP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1、通过福建省固体废物动态信息管理平台进行申报登记，包括管理计划、月报、年报等，并在省固废管理信息系统上运行实行危险废物转移电子联单。</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 xml:space="preserve">2、建立并完善危险废物管理台账，包括危险废物产生、贮存、转移记录表，月(年)汇总报表，以及危险废物利用、处理处置(包括自行利用、处理处置或委托利用、处理处置)情况。 </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 xml:space="preserve">3、建立企业危险废物规范化管理档案，包括企业环保管理制度、年度管理计划、排污申报登记材料、危险废物管理台账、危险废物突发环境事故应急预案及演练材料、企业内部员工危险废物管理知识培训材料、危险废物延期贮存报告、危险废物转移报批表及转移联单、危险废物委托处置协议及经营许可证单位相关材料、危险废物运输单位相关材料及环保部门要求的其它材料。档案材料必须有专人管理。 </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 xml:space="preserve">4、按照《危险废物贮存污染控制标准》规范建设危险废物贮存场所，危险废物要独立并分类贮存在专用场所，并按要求在运输、贮存、利用/处置环节悬挂危险废物标识、在包装物或容器上张贴标签。 </w:t>
      </w:r>
    </w:p>
    <w:p>
      <w:pPr>
        <w:spacing w:line="600" w:lineRule="exact"/>
        <w:ind w:firstLine="640" w:firstLineChars="200"/>
        <w:rPr>
          <w:rFonts w:hint="eastAsia" w:ascii="仿宋_GB2312" w:eastAsia="仿宋_GB2312" w:cs="仿宋_GB2312"/>
          <w:color w:val="000000"/>
          <w:sz w:val="32"/>
          <w:szCs w:val="32"/>
        </w:rPr>
      </w:pPr>
      <w:r>
        <w:rPr>
          <w:rFonts w:hint="eastAsia" w:ascii="仿宋_GB2312" w:eastAsia="仿宋_GB2312" w:cs="仿宋_GB2312"/>
          <w:color w:val="000000"/>
          <w:sz w:val="32"/>
          <w:szCs w:val="32"/>
          <w:lang w:bidi="ar"/>
        </w:rPr>
        <w:t xml:space="preserve">5、制订突发环境事故应急预案，每年至少组织一次应急演练。 </w:t>
      </w:r>
    </w:p>
    <w:p>
      <w:r>
        <w:rPr>
          <w:rFonts w:hint="eastAsia" w:ascii="仿宋_GB2312" w:eastAsia="仿宋_GB2312" w:cs="仿宋_GB2312"/>
          <w:color w:val="000000"/>
          <w:sz w:val="32"/>
          <w:szCs w:val="32"/>
          <w:lang w:bidi="ar"/>
        </w:rPr>
        <w:t>6、建立报送、报备材料制度，及时向当地环保部门报送或报备危险废物转移联单、排污申报登记、危险废物年度管理计划、突发环境事故应急预案、重大事项变更申请等资料。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30B83D"/>
    <w:multiLevelType w:val="singleLevel"/>
    <w:tmpl w:val="5B30B83D"/>
    <w:lvl w:ilvl="0" w:tentative="0">
      <w:start w:val="2"/>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D138F4"/>
    <w:rsid w:val="35D13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nhideWhenUsed/>
    <w:uiPriority w:val="99"/>
    <w:pPr>
      <w:tabs>
        <w:tab w:val="center" w:pos="4153"/>
        <w:tab w:val="right" w:pos="8306"/>
      </w:tabs>
      <w:snapToGrid w:val="0"/>
      <w:jc w:val="left"/>
    </w:pPr>
    <w:rPr>
      <w:sz w:val="18"/>
      <w:szCs w:val="18"/>
    </w:rPr>
  </w:style>
  <w:style w:type="paragraph" w:styleId="3">
    <w:name w:val="Normal (Web)"/>
    <w:basedOn w:val="1"/>
    <w:unhideWhenUsed/>
    <w:qFormat/>
    <w:uiPriority w:val="99"/>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2020-03-17T01:54:00Z</dcterms:created>
  <dc:creator>bgs</dc:creator>
  <cp:lastModifiedBy>bgs</cp:lastModifiedBy>
  <dcterms:modified xsi:type="dcterms:W3CDTF">2020-03-17T01:54:57Z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