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line="600" w:lineRule="exact"/>
        <w:ind w:left="0"/>
        <w:rPr>
          <w:color w:val="000000"/>
        </w:rPr>
      </w:pPr>
    </w:p>
    <w:p>
      <w:pPr>
        <w:snapToGrid w:val="0"/>
        <w:spacing w:line="600" w:lineRule="exact"/>
        <w:ind w:left="0"/>
        <w:jc w:val="center"/>
        <w:rPr>
          <w:rFonts w:ascii="方正小标宋简体" w:eastAsia="方正小标宋简体" w:hint="eastAsia"/>
          <w:bCs/>
          <w:color w:val="000000"/>
          <w:sz w:val="44"/>
        </w:rPr>
      </w:pPr>
      <w:r>
        <w:rPr>
          <w:rFonts w:ascii="方正小标宋简体" w:eastAsia="方正小标宋简体" w:hint="eastAsia"/>
          <w:bCs/>
          <w:color w:val="000000"/>
          <w:sz w:val="44"/>
        </w:rPr>
        <w:t>关于进一步做好种植业项目储备工作的函</w:t>
      </w:r>
    </w:p>
    <w:p>
      <w:pPr>
        <w:snapToGrid w:val="0"/>
        <w:spacing w:line="600" w:lineRule="exact"/>
        <w:ind w:left="0"/>
        <w:jc w:val="center"/>
        <w:rPr>
          <w:rFonts w:ascii="仿宋_GB2312" w:hint="eastAsia"/>
          <w:b/>
          <w:bCs/>
          <w:color w:val="000000"/>
        </w:rPr>
      </w:pPr>
    </w:p>
    <w:p>
      <w:pPr>
        <w:spacing w:line="600" w:lineRule="exact"/>
        <w:ind w:left="0"/>
        <w:rPr>
          <w:rFonts w:hint="eastAsia"/>
          <w:color w:val="000000"/>
          <w:szCs w:val="32"/>
        </w:rPr>
      </w:pPr>
      <w:r>
        <w:rPr>
          <w:rFonts w:hint="eastAsia"/>
          <w:color w:val="000000"/>
          <w:szCs w:val="32"/>
        </w:rPr>
        <w:t>各设区市和平潭综合实验区农业农村局：</w:t>
      </w:r>
    </w:p>
    <w:p>
      <w:pPr>
        <w:spacing w:line="600" w:lineRule="exact"/>
        <w:ind w:left="0" w:firstLineChars="200" w:firstLine="640"/>
        <w:rPr>
          <w:rFonts w:hint="eastAsia"/>
          <w:color w:val="000000"/>
          <w:szCs w:val="32"/>
        </w:rPr>
      </w:pPr>
      <w:r>
        <w:rPr>
          <w:rFonts w:hint="eastAsia"/>
          <w:color w:val="000000"/>
          <w:szCs w:val="32"/>
        </w:rPr>
        <w:t>根据《福建省农业农村厅关于扩大农业项目库项目储备范围的通知》（闽农计函〔2020〕122号）要求，并结合当前水果产业发展重点，现新增优质水果产业发展项目，重点建设百香果标准化育苗基地、</w:t>
      </w:r>
      <w:r>
        <w:rPr>
          <w:rFonts w:cs="仿宋_GB2312" w:hint="eastAsia"/>
          <w:color w:val="000000"/>
          <w:szCs w:val="32"/>
        </w:rPr>
        <w:t>百香果标准化生产基地、采后商品化处理中心、猕猴桃标准化生产基地、‘</w:t>
      </w:r>
      <w:r>
        <w:rPr>
          <w:rFonts w:hint="eastAsia"/>
          <w:color w:val="000000"/>
          <w:szCs w:val="32"/>
        </w:rPr>
        <w:t>阳光玫瑰’葡萄</w:t>
      </w:r>
      <w:r>
        <w:rPr>
          <w:rFonts w:cs="仿宋_GB2312" w:hint="eastAsia"/>
          <w:color w:val="000000"/>
          <w:szCs w:val="32"/>
        </w:rPr>
        <w:t>标准化生产基地等</w:t>
      </w:r>
      <w:r>
        <w:rPr>
          <w:rFonts w:hint="eastAsia"/>
          <w:color w:val="000000"/>
          <w:szCs w:val="32"/>
        </w:rPr>
        <w:t>。</w:t>
      </w:r>
      <w:r>
        <w:rPr>
          <w:color w:val="000000"/>
          <w:szCs w:val="32"/>
        </w:rPr>
        <w:t>现就新增项目申报有</w:t>
      </w:r>
      <w:r>
        <w:rPr>
          <w:rFonts w:hint="eastAsia"/>
          <w:color w:val="000000"/>
          <w:szCs w:val="32"/>
        </w:rPr>
        <w:t>关</w:t>
      </w:r>
      <w:r>
        <w:rPr>
          <w:color w:val="000000"/>
          <w:szCs w:val="32"/>
        </w:rPr>
        <w:t>工作</w:t>
      </w:r>
      <w:r>
        <w:rPr>
          <w:rFonts w:hint="eastAsia"/>
          <w:color w:val="000000"/>
          <w:szCs w:val="32"/>
        </w:rPr>
        <w:t>补充通知如下：</w:t>
      </w:r>
    </w:p>
    <w:p>
      <w:pPr>
        <w:spacing w:line="600" w:lineRule="exact"/>
        <w:ind w:firstLineChars="200" w:firstLine="640"/>
        <w:rPr>
          <w:rFonts w:ascii="黑体" w:eastAsia="黑体"/>
          <w:color w:val="000000"/>
          <w:szCs w:val="32"/>
        </w:rPr>
      </w:pPr>
      <w:r>
        <w:rPr>
          <w:rFonts w:ascii="黑体" w:eastAsia="黑体"/>
          <w:color w:val="000000"/>
          <w:szCs w:val="32"/>
        </w:rPr>
        <w:t>一、新增</w:t>
      </w:r>
      <w:r>
        <w:rPr>
          <w:rFonts w:ascii="黑体" w:eastAsia="黑体" w:hint="eastAsia"/>
          <w:color w:val="000000"/>
          <w:szCs w:val="32"/>
        </w:rPr>
        <w:t>项目申报</w:t>
      </w:r>
      <w:r>
        <w:rPr>
          <w:rFonts w:ascii="黑体" w:eastAsia="黑体"/>
          <w:color w:val="000000"/>
          <w:szCs w:val="32"/>
        </w:rPr>
        <w:t>对象及建设内容</w:t>
      </w:r>
    </w:p>
    <w:p>
      <w:pPr>
        <w:spacing w:line="600" w:lineRule="exact"/>
        <w:ind w:firstLineChars="200" w:firstLine="640"/>
        <w:rPr>
          <w:rFonts w:ascii="仿宋_GB2312" w:hint="eastAsia"/>
          <w:b/>
          <w:bCs/>
          <w:color w:val="000000"/>
          <w:szCs w:val="32"/>
        </w:rPr>
      </w:pPr>
      <w:r>
        <w:rPr>
          <w:rFonts w:ascii="仿宋_GB2312" w:hint="eastAsia"/>
          <w:b/>
          <w:bCs/>
          <w:color w:val="000000"/>
          <w:szCs w:val="32"/>
        </w:rPr>
        <w:t>（一）申报对象</w:t>
      </w:r>
    </w:p>
    <w:p>
      <w:pPr>
        <w:spacing w:line="600" w:lineRule="exact"/>
        <w:ind w:left="0" w:firstLineChars="200" w:firstLine="640"/>
        <w:rPr>
          <w:rFonts w:cs="仿宋_GB2312" w:hint="eastAsia"/>
          <w:color w:val="000000"/>
          <w:szCs w:val="32"/>
          <w:lang w:bidi="ar-SA"/>
        </w:rPr>
      </w:pPr>
      <w:r>
        <w:rPr>
          <w:rFonts w:ascii="楷体_GB2312" w:eastAsia="楷体_GB2312" w:hint="eastAsia"/>
          <w:color w:val="000000"/>
          <w:szCs w:val="32"/>
          <w:lang w:bidi="ar-SA"/>
        </w:rPr>
        <w:t>1、百香果标准化育苗基地：</w:t>
      </w:r>
      <w:r>
        <w:rPr>
          <w:rFonts w:hint="eastAsia"/>
          <w:color w:val="000000"/>
          <w:szCs w:val="32"/>
        </w:rPr>
        <w:t>从事百香果育苗</w:t>
      </w:r>
      <w:r>
        <w:rPr>
          <w:rFonts w:cs="仿宋_GB2312" w:hint="eastAsia"/>
          <w:color w:val="000000"/>
          <w:szCs w:val="32"/>
          <w:lang w:bidi="ar-SA"/>
        </w:rPr>
        <w:t>的企业、农民合作社、家庭农场和专业大户等农业经营主体。</w:t>
      </w:r>
    </w:p>
    <w:p>
      <w:pPr>
        <w:spacing w:line="600" w:lineRule="exact"/>
        <w:ind w:left="0" w:firstLineChars="200" w:firstLine="640"/>
        <w:rPr>
          <w:rFonts w:cs="仿宋_GB2312" w:hint="eastAsia"/>
          <w:color w:val="000000"/>
          <w:szCs w:val="32"/>
          <w:lang w:bidi="ar-SA"/>
        </w:rPr>
      </w:pPr>
      <w:r>
        <w:rPr>
          <w:rFonts w:ascii="楷体_GB2312" w:eastAsia="楷体_GB2312" w:cs="仿宋_GB2312" w:hint="eastAsia"/>
          <w:color w:val="000000"/>
          <w:szCs w:val="32"/>
          <w:lang w:bidi="ar-SA"/>
        </w:rPr>
        <w:t>2、百香果标准化生产基地：</w:t>
      </w:r>
      <w:r>
        <w:rPr>
          <w:rFonts w:cs="仿宋_GB2312" w:hint="eastAsia"/>
          <w:color w:val="000000"/>
          <w:szCs w:val="32"/>
          <w:lang w:bidi="ar-SA"/>
        </w:rPr>
        <w:t>具有连片50亩以上</w:t>
      </w:r>
      <w:r>
        <w:rPr>
          <w:rFonts w:cs="仿宋_GB2312" w:hint="eastAsia"/>
          <w:color w:val="000000"/>
          <w:szCs w:val="32"/>
        </w:rPr>
        <w:t>种植基地的</w:t>
      </w:r>
      <w:r>
        <w:rPr>
          <w:rFonts w:cs="仿宋_GB2312" w:hint="eastAsia"/>
          <w:color w:val="000000"/>
          <w:szCs w:val="32"/>
          <w:lang w:bidi="ar-SA"/>
        </w:rPr>
        <w:t>企业、农民合作社、家庭农场和专业大户等农业经营主体。</w:t>
      </w:r>
    </w:p>
    <w:p>
      <w:pPr>
        <w:spacing w:line="600" w:lineRule="exact"/>
        <w:ind w:left="0" w:firstLineChars="200" w:firstLine="640"/>
        <w:rPr>
          <w:rFonts w:cs="仿宋_GB2312" w:hint="eastAsia"/>
          <w:color w:val="000000"/>
          <w:szCs w:val="32"/>
        </w:rPr>
      </w:pPr>
      <w:r>
        <w:rPr>
          <w:rFonts w:ascii="楷体_GB2312" w:eastAsia="楷体_GB2312" w:cs="仿宋_GB2312" w:hint="eastAsia"/>
          <w:color w:val="000000"/>
          <w:szCs w:val="32"/>
        </w:rPr>
        <w:t>3、采后商品化处理中心：</w:t>
      </w:r>
      <w:r>
        <w:rPr>
          <w:rFonts w:cs="仿宋_GB2312" w:hint="eastAsia"/>
          <w:color w:val="000000"/>
          <w:szCs w:val="32"/>
        </w:rPr>
        <w:t>从事百香果生产、经营的</w:t>
      </w:r>
      <w:r>
        <w:rPr>
          <w:rFonts w:cs="仿宋_GB2312" w:hint="eastAsia"/>
          <w:color w:val="000000"/>
          <w:szCs w:val="32"/>
          <w:lang w:bidi="ar-SA"/>
        </w:rPr>
        <w:t>企业、农民合作社、家庭农场和专业大户等农业经营主体。</w:t>
      </w:r>
      <w:r>
        <w:rPr>
          <w:rFonts w:cs="仿宋_GB2312" w:hint="eastAsia"/>
          <w:color w:val="000000"/>
          <w:szCs w:val="32"/>
        </w:rPr>
        <w:t>一个采后商品化处理中心建设项目实施主体不超过4个。</w:t>
      </w:r>
    </w:p>
    <w:p>
      <w:pPr>
        <w:adjustRightInd w:val="0"/>
        <w:snapToGrid w:val="0"/>
        <w:spacing w:line="600" w:lineRule="exact"/>
        <w:ind w:firstLineChars="200" w:firstLine="640"/>
        <w:rPr>
          <w:rFonts w:hint="eastAsia"/>
          <w:color w:val="000000"/>
          <w:szCs w:val="32"/>
        </w:rPr>
      </w:pPr>
      <w:r>
        <w:rPr>
          <w:rFonts w:ascii="楷体_GB2312" w:eastAsia="楷体_GB2312" w:cs="仿宋_GB2312" w:hint="eastAsia"/>
          <w:color w:val="000000"/>
          <w:szCs w:val="32"/>
        </w:rPr>
        <w:t>4、猕猴桃</w:t>
      </w:r>
      <w:r>
        <w:rPr>
          <w:rFonts w:ascii="楷体_GB2312" w:eastAsia="楷体_GB2312" w:cs="仿宋_GB2312" w:hint="eastAsia"/>
          <w:color w:val="000000"/>
          <w:szCs w:val="32"/>
          <w:lang w:bidi="ar-SA"/>
        </w:rPr>
        <w:t>标准化生产基地</w:t>
      </w:r>
      <w:r>
        <w:rPr>
          <w:rFonts w:ascii="楷体_GB2312" w:eastAsia="楷体_GB2312" w:cs="仿宋_GB2312"/>
          <w:color w:val="000000"/>
          <w:szCs w:val="32"/>
        </w:rPr>
        <w:t>：</w:t>
      </w:r>
      <w:r>
        <w:rPr>
          <w:rFonts w:cs="仿宋_GB2312" w:hint="eastAsia"/>
          <w:color w:val="000000"/>
          <w:szCs w:val="32"/>
          <w:lang w:bidi="ar-SA"/>
        </w:rPr>
        <w:t>具有连片50亩以上猕猴桃种植基地</w:t>
      </w:r>
      <w:r>
        <w:rPr>
          <w:rFonts w:hint="eastAsia"/>
          <w:color w:val="000000"/>
          <w:szCs w:val="32"/>
        </w:rPr>
        <w:t>的企业、农民合作社、家庭农场和专业大户等农业经营主体。</w:t>
      </w:r>
    </w:p>
    <w:p>
      <w:pPr>
        <w:spacing w:line="600" w:lineRule="exact"/>
        <w:ind w:left="0" w:firstLineChars="200" w:firstLine="640"/>
        <w:rPr>
          <w:rFonts w:hint="eastAsia"/>
          <w:color w:val="000000"/>
          <w:szCs w:val="32"/>
        </w:rPr>
      </w:pPr>
      <w:r>
        <w:rPr>
          <w:rFonts w:ascii="楷体_GB2312" w:eastAsia="楷体_GB2312" w:hint="eastAsia"/>
          <w:color w:val="000000"/>
          <w:szCs w:val="32"/>
        </w:rPr>
        <w:t>5、</w:t>
      </w:r>
      <w:r>
        <w:rPr>
          <w:rFonts w:ascii="楷体_GB2312" w:eastAsia="楷体_GB2312"/>
          <w:color w:val="000000"/>
          <w:szCs w:val="32"/>
        </w:rPr>
        <w:t>阳光玫瑰</w:t>
      </w:r>
      <w:r>
        <w:rPr>
          <w:rFonts w:ascii="楷体_GB2312" w:eastAsia="楷体_GB2312" w:hint="eastAsia"/>
          <w:color w:val="000000"/>
          <w:szCs w:val="32"/>
        </w:rPr>
        <w:t>葡萄</w:t>
      </w:r>
      <w:r>
        <w:rPr>
          <w:rFonts w:ascii="楷体_GB2312" w:eastAsia="楷体_GB2312" w:cs="仿宋_GB2312" w:hint="eastAsia"/>
          <w:color w:val="000000"/>
          <w:szCs w:val="32"/>
          <w:lang w:bidi="ar-SA"/>
        </w:rPr>
        <w:t>标准化生产基地</w:t>
      </w:r>
      <w:r>
        <w:rPr>
          <w:rFonts w:ascii="楷体_GB2312" w:eastAsia="楷体_GB2312" w:hint="eastAsia"/>
          <w:color w:val="000000"/>
          <w:szCs w:val="32"/>
        </w:rPr>
        <w:t>：</w:t>
      </w:r>
      <w:r>
        <w:rPr>
          <w:rFonts w:cs="仿宋_GB2312" w:hint="eastAsia"/>
          <w:color w:val="000000"/>
          <w:szCs w:val="32"/>
          <w:lang w:bidi="ar-SA"/>
        </w:rPr>
        <w:t>具有连片50亩以上</w:t>
      </w:r>
      <w:r>
        <w:rPr>
          <w:rFonts w:hint="eastAsia"/>
          <w:color w:val="000000"/>
          <w:szCs w:val="32"/>
        </w:rPr>
        <w:t>阳光玫瑰葡萄</w:t>
      </w:r>
      <w:r>
        <w:rPr>
          <w:rFonts w:cs="仿宋_GB2312" w:hint="eastAsia"/>
          <w:color w:val="000000"/>
          <w:szCs w:val="32"/>
          <w:lang w:bidi="ar-SA"/>
        </w:rPr>
        <w:t>种植基地</w:t>
      </w:r>
      <w:r>
        <w:rPr>
          <w:rFonts w:hint="eastAsia"/>
          <w:color w:val="000000"/>
          <w:szCs w:val="32"/>
        </w:rPr>
        <w:t>的企业、农民合作社、家庭农场和专业大户等农业经营主体。</w:t>
      </w:r>
    </w:p>
    <w:p>
      <w:pPr>
        <w:spacing w:line="600" w:lineRule="exact"/>
        <w:ind w:left="0" w:firstLineChars="200" w:firstLine="640"/>
        <w:rPr>
          <w:rFonts w:ascii="仿宋_GB2312" w:cs="仿宋_GB2312" w:hint="eastAsia"/>
          <w:b/>
          <w:bCs/>
          <w:color w:val="000000"/>
          <w:szCs w:val="32"/>
        </w:rPr>
      </w:pPr>
      <w:r>
        <w:rPr>
          <w:rFonts w:ascii="仿宋_GB2312" w:cs="仿宋_GB2312" w:hint="eastAsia"/>
          <w:b/>
          <w:bCs/>
          <w:color w:val="000000"/>
          <w:szCs w:val="32"/>
        </w:rPr>
        <w:t>（二）主要建设内容</w:t>
      </w:r>
      <w:bookmarkStart w:id="0" w:name="_GoBack"/>
      <w:bookmarkEnd w:id="0"/>
    </w:p>
    <w:p>
      <w:pPr>
        <w:snapToGrid w:val="0"/>
        <w:spacing w:line="600" w:lineRule="exact"/>
        <w:ind w:left="0" w:firstLineChars="200" w:firstLine="640"/>
        <w:rPr>
          <w:rFonts w:hint="eastAsia"/>
          <w:color w:val="000000"/>
          <w:szCs w:val="32"/>
          <w:lang w:bidi="ar-SA"/>
        </w:rPr>
      </w:pPr>
      <w:r>
        <w:rPr>
          <w:rFonts w:ascii="楷体_GB2312" w:eastAsia="楷体_GB2312" w:hint="eastAsia"/>
          <w:color w:val="000000"/>
          <w:szCs w:val="32"/>
          <w:lang w:bidi="ar-SA"/>
        </w:rPr>
        <w:t>1、百香果标准化育苗基地。</w:t>
      </w:r>
      <w:r>
        <w:rPr>
          <w:rFonts w:hint="eastAsia"/>
          <w:color w:val="000000"/>
          <w:szCs w:val="32"/>
          <w:lang w:bidi="ar-SA"/>
        </w:rPr>
        <w:t>福建百香果标准化</w:t>
      </w:r>
      <w:r>
        <w:rPr>
          <w:rFonts w:hint="eastAsia"/>
          <w:color w:val="000000"/>
          <w:szCs w:val="32"/>
          <w:lang w:eastAsia="zh-CN" w:bidi="ar-SA"/>
        </w:rPr>
        <w:t>（</w:t>
      </w:r>
      <w:r>
        <w:rPr>
          <w:rFonts w:hint="eastAsia"/>
          <w:color w:val="000000"/>
          <w:szCs w:val="32"/>
          <w:lang w:bidi="ar-SA"/>
        </w:rPr>
        <w:t>育苗</w:t>
      </w:r>
      <w:r>
        <w:rPr>
          <w:rFonts w:hint="eastAsia"/>
          <w:color w:val="000000"/>
          <w:szCs w:val="32"/>
          <w:lang w:eastAsia="zh-CN" w:bidi="ar-SA"/>
        </w:rPr>
        <w:t>）基地</w:t>
      </w:r>
      <w:r>
        <w:rPr>
          <w:rFonts w:hint="eastAsia"/>
          <w:color w:val="000000"/>
          <w:szCs w:val="32"/>
          <w:lang w:bidi="ar-SA"/>
        </w:rPr>
        <w:t>所需的设施设备</w:t>
      </w:r>
      <w:r>
        <w:rPr>
          <w:rFonts w:hint="eastAsia"/>
          <w:color w:val="000000"/>
          <w:szCs w:val="32"/>
          <w:lang w:eastAsia="zh-CN" w:bidi="ar-SA"/>
        </w:rPr>
        <w:t>，</w:t>
      </w:r>
      <w:r>
        <w:rPr>
          <w:rFonts w:hint="eastAsia"/>
          <w:color w:val="000000"/>
          <w:szCs w:val="32"/>
          <w:lang w:bidi="ar-SA"/>
        </w:rPr>
        <w:t>含育苗大棚、防虫网、苗床、灌溉设施、路沟渠、遮阳网等</w:t>
      </w:r>
      <w:r>
        <w:rPr>
          <w:rFonts w:hint="eastAsia"/>
          <w:color w:val="000000"/>
          <w:szCs w:val="32"/>
          <w:lang w:eastAsia="zh-CN" w:bidi="ar-SA"/>
        </w:rPr>
        <w:t>内容</w:t>
      </w:r>
      <w:r>
        <w:rPr>
          <w:rFonts w:hint="eastAsia"/>
          <w:color w:val="000000"/>
          <w:szCs w:val="32"/>
          <w:lang w:bidi="ar-SA"/>
        </w:rPr>
        <w:t>。</w:t>
      </w:r>
    </w:p>
    <w:p>
      <w:pPr>
        <w:snapToGrid w:val="0"/>
        <w:spacing w:line="600" w:lineRule="exact"/>
        <w:ind w:left="0" w:firstLineChars="200" w:firstLine="640"/>
        <w:rPr>
          <w:rFonts w:hint="eastAsia"/>
          <w:color w:val="000000"/>
          <w:szCs w:val="32"/>
        </w:rPr>
      </w:pPr>
      <w:r>
        <w:rPr>
          <w:rFonts w:ascii="楷体_GB2312" w:eastAsia="楷体_GB2312" w:hint="eastAsia"/>
          <w:color w:val="000000"/>
          <w:szCs w:val="32"/>
        </w:rPr>
        <w:t>2、百香果标准化生产基地。</w:t>
      </w:r>
      <w:r>
        <w:rPr>
          <w:rFonts w:hint="eastAsia"/>
          <w:color w:val="000000"/>
          <w:szCs w:val="32"/>
        </w:rPr>
        <w:t>百香果标准化棚（篱）架、水肥一体化等基础设施，推广商品有机肥、防草膜、粘虫色板、性诱剂等生态栽培技术。</w:t>
      </w:r>
    </w:p>
    <w:p>
      <w:pPr>
        <w:pStyle w:val="16"/>
        <w:spacing w:line="600" w:lineRule="exact"/>
        <w:ind w:left="0" w:firstLineChars="200" w:firstLine="640"/>
        <w:rPr>
          <w:rFonts w:eastAsia="仿宋_GB2312" w:cs="仿宋_GB2312" w:hint="eastAsia"/>
          <w:color w:val="000000"/>
          <w:kern w:val="2"/>
          <w:sz w:val="32"/>
          <w:szCs w:val="32"/>
          <w:lang w:bidi="ar-SA"/>
        </w:rPr>
      </w:pPr>
      <w:r>
        <w:rPr>
          <w:rFonts w:ascii="楷体_GB2312" w:eastAsia="楷体_GB2312" w:hint="eastAsia"/>
          <w:color w:val="000000"/>
          <w:kern w:val="2"/>
          <w:sz w:val="32"/>
          <w:szCs w:val="32"/>
        </w:rPr>
        <w:t>3、</w:t>
      </w:r>
      <w:r>
        <w:rPr>
          <w:rFonts w:ascii="楷体_GB2312" w:eastAsia="楷体_GB2312" w:hint="eastAsia"/>
          <w:color w:val="000000"/>
          <w:kern w:val="2"/>
          <w:sz w:val="32"/>
          <w:szCs w:val="32"/>
          <w:lang w:bidi="ar-SA"/>
        </w:rPr>
        <w:t>百香果采后商品化处理中心。</w:t>
      </w:r>
      <w:r>
        <w:rPr>
          <w:rFonts w:eastAsia="仿宋_GB2312" w:cs="仿宋_GB2312" w:hint="eastAsia"/>
          <w:color w:val="000000"/>
          <w:kern w:val="2"/>
          <w:sz w:val="32"/>
          <w:szCs w:val="32"/>
          <w:lang w:bidi="ar-SA"/>
        </w:rPr>
        <w:t>百香果清洗、分选、包装等采后商品化处理设备。</w:t>
      </w:r>
    </w:p>
    <w:p>
      <w:pPr>
        <w:snapToGrid w:val="0"/>
        <w:spacing w:line="600" w:lineRule="exact"/>
        <w:ind w:left="0" w:firstLineChars="200" w:firstLine="640"/>
        <w:rPr>
          <w:rFonts w:hint="eastAsia"/>
          <w:color w:val="000000"/>
          <w:szCs w:val="32"/>
        </w:rPr>
      </w:pPr>
      <w:r>
        <w:rPr>
          <w:rFonts w:ascii="楷体_GB2312" w:eastAsia="楷体_GB2312" w:hint="eastAsia"/>
          <w:color w:val="000000"/>
          <w:szCs w:val="32"/>
        </w:rPr>
        <w:t>4、猕猴桃标准化生产基地。</w:t>
      </w:r>
      <w:r>
        <w:rPr>
          <w:rFonts w:hint="eastAsia"/>
          <w:color w:val="000000"/>
          <w:szCs w:val="32"/>
        </w:rPr>
        <w:t>标准化棚架、水肥一体化等基础设施，推广优新品种及商品有机肥、防草膜、粘虫色板、性诱剂等生态栽培技术。</w:t>
      </w:r>
    </w:p>
    <w:p>
      <w:pPr>
        <w:snapToGrid w:val="0"/>
        <w:spacing w:line="600" w:lineRule="exact"/>
        <w:ind w:left="0" w:firstLineChars="200" w:firstLine="640"/>
        <w:rPr>
          <w:rFonts w:hint="eastAsia"/>
          <w:color w:val="000000"/>
          <w:szCs w:val="32"/>
        </w:rPr>
      </w:pPr>
      <w:r>
        <w:rPr>
          <w:rFonts w:ascii="楷体_GB2312" w:eastAsia="楷体_GB2312" w:hint="eastAsia"/>
          <w:color w:val="000000"/>
          <w:szCs w:val="32"/>
        </w:rPr>
        <w:t>5、</w:t>
      </w:r>
      <w:r>
        <w:rPr>
          <w:rFonts w:ascii="楷体_GB2312" w:eastAsia="楷体_GB2312"/>
          <w:color w:val="000000"/>
          <w:szCs w:val="32"/>
        </w:rPr>
        <w:t>阳光玫瑰</w:t>
      </w:r>
      <w:r>
        <w:rPr>
          <w:rFonts w:ascii="楷体_GB2312" w:eastAsia="楷体_GB2312" w:hint="eastAsia"/>
          <w:color w:val="000000"/>
          <w:szCs w:val="32"/>
          <w:lang w:bidi="ar-SA"/>
        </w:rPr>
        <w:t>葡萄标准化生产基地。</w:t>
      </w:r>
      <w:r>
        <w:rPr>
          <w:rFonts w:hint="eastAsia"/>
          <w:color w:val="000000"/>
          <w:szCs w:val="32"/>
        </w:rPr>
        <w:t>标准化棚架、水肥一体化等基础设施，推广商品有机肥、防草膜、粘虫色板、性诱剂等生态栽培技术。</w:t>
      </w:r>
    </w:p>
    <w:p>
      <w:pPr>
        <w:adjustRightInd w:val="0"/>
        <w:snapToGrid w:val="0"/>
        <w:spacing w:line="600" w:lineRule="exact"/>
        <w:ind w:firstLineChars="200" w:firstLine="640"/>
        <w:rPr>
          <w:rFonts w:ascii="黑体" w:eastAsia="黑体" w:hint="eastAsia"/>
          <w:color w:val="000000"/>
          <w:szCs w:val="32"/>
        </w:rPr>
      </w:pPr>
      <w:r>
        <w:rPr>
          <w:rFonts w:ascii="黑体" w:eastAsia="黑体" w:hint="eastAsia"/>
          <w:color w:val="000000"/>
          <w:szCs w:val="32"/>
        </w:rPr>
        <w:t>二、有关</w:t>
      </w:r>
      <w:r>
        <w:rPr>
          <w:rFonts w:ascii="黑体" w:eastAsia="黑体"/>
          <w:color w:val="000000"/>
          <w:szCs w:val="32"/>
        </w:rPr>
        <w:t>工作</w:t>
      </w:r>
      <w:r>
        <w:rPr>
          <w:rFonts w:ascii="黑体" w:eastAsia="黑体" w:hint="eastAsia"/>
          <w:color w:val="000000"/>
          <w:szCs w:val="32"/>
        </w:rPr>
        <w:t>要求</w:t>
      </w:r>
    </w:p>
    <w:p>
      <w:pPr>
        <w:tabs>
          <w:tab w:val="left" w:pos="3730"/>
        </w:tabs>
        <w:spacing w:line="600" w:lineRule="exact"/>
        <w:ind w:left="0" w:firstLineChars="200" w:firstLine="640"/>
        <w:rPr>
          <w:rFonts w:ascii="仿宋_GB2312" w:cs="宋体" w:hint="eastAsia"/>
          <w:bCs/>
          <w:color w:val="000000"/>
          <w:kern w:val="0"/>
          <w:szCs w:val="32"/>
          <w:lang w:bidi="ar-SA"/>
        </w:rPr>
      </w:pPr>
      <w:r>
        <w:rPr>
          <w:rFonts w:ascii="仿宋_GB2312"/>
          <w:color w:val="000000"/>
          <w:sz w:val="32"/>
          <w:szCs w:val="32"/>
        </w:rPr>
        <w:t>请</w:t>
      </w:r>
      <w:r>
        <w:rPr>
          <w:rFonts w:ascii="仿宋_GB2312" w:hint="eastAsia"/>
          <w:color w:val="000000"/>
          <w:sz w:val="32"/>
          <w:szCs w:val="32"/>
        </w:rPr>
        <w:t>各</w:t>
      </w:r>
      <w:r>
        <w:rPr>
          <w:rFonts w:ascii="仿宋_GB2312"/>
          <w:color w:val="000000"/>
          <w:sz w:val="32"/>
          <w:szCs w:val="32"/>
        </w:rPr>
        <w:t>设区市</w:t>
      </w:r>
      <w:r>
        <w:rPr>
          <w:rFonts w:ascii="仿宋_GB2312" w:hint="eastAsia"/>
          <w:color w:val="000000"/>
          <w:sz w:val="32"/>
          <w:szCs w:val="32"/>
        </w:rPr>
        <w:t>和平潭综合实验区农业农村局</w:t>
      </w:r>
      <w:r>
        <w:rPr>
          <w:rFonts w:ascii="仿宋_GB2312"/>
          <w:color w:val="000000"/>
          <w:sz w:val="32"/>
          <w:szCs w:val="32"/>
        </w:rPr>
        <w:t>在前期组织建立种植业项目库工作基础上，按照本次新增种植业项目申报范围、相关要求，重新组织所辖相关</w:t>
      </w:r>
      <w:r>
        <w:rPr>
          <w:rFonts w:ascii="仿宋_GB2312" w:hint="eastAsia"/>
          <w:color w:val="000000"/>
          <w:szCs w:val="32"/>
        </w:rPr>
        <w:t>县（市、区）农业农村部门</w:t>
      </w:r>
      <w:r>
        <w:rPr>
          <w:rFonts w:ascii="仿宋_GB2312"/>
          <w:color w:val="000000"/>
          <w:szCs w:val="32"/>
        </w:rPr>
        <w:t>申报</w:t>
      </w:r>
      <w:r>
        <w:rPr>
          <w:rFonts w:hint="eastAsia"/>
          <w:color w:val="000000"/>
          <w:szCs w:val="32"/>
        </w:rPr>
        <w:t>优质水果产业发展项目</w:t>
      </w:r>
      <w:r>
        <w:rPr>
          <w:b/>
          <w:bCs/>
          <w:color w:val="000000"/>
          <w:szCs w:val="32"/>
        </w:rPr>
        <w:t>（因此次新增的优质水果产业发展项目涵盖上次各地申报的现代果业项目，各地需按此次最新标准重新申报项目，相关水果产业项目以此次申报的为准）</w:t>
      </w:r>
      <w:r>
        <w:rPr>
          <w:rFonts w:ascii="仿宋_GB2312"/>
          <w:b/>
          <w:bCs/>
          <w:color w:val="000000"/>
          <w:szCs w:val="32"/>
        </w:rPr>
        <w:t>，</w:t>
      </w:r>
      <w:r>
        <w:rPr>
          <w:rFonts w:ascii="仿宋_GB2312"/>
          <w:color w:val="000000"/>
          <w:szCs w:val="32"/>
        </w:rPr>
        <w:t>认真填写《</w:t>
      </w:r>
      <w:r>
        <w:rPr>
          <w:rFonts w:ascii="仿宋_GB2312" w:cs="宋体" w:hint="eastAsia"/>
          <w:bCs/>
          <w:color w:val="000000"/>
          <w:kern w:val="0"/>
          <w:szCs w:val="32"/>
        </w:rPr>
        <w:t>XX农业财政资金项目储备申报表</w:t>
      </w:r>
      <w:r>
        <w:rPr>
          <w:rFonts w:ascii="仿宋_GB2312"/>
          <w:color w:val="000000"/>
          <w:szCs w:val="32"/>
        </w:rPr>
        <w:t>》，并对申报的</w:t>
      </w:r>
      <w:r>
        <w:rPr>
          <w:rFonts w:ascii="仿宋_GB2312" w:hint="eastAsia"/>
          <w:color w:val="000000"/>
          <w:szCs w:val="32"/>
        </w:rPr>
        <w:t>项目</w:t>
      </w:r>
      <w:r>
        <w:rPr>
          <w:rFonts w:ascii="仿宋_GB2312"/>
          <w:color w:val="000000"/>
          <w:szCs w:val="32"/>
        </w:rPr>
        <w:t>分别</w:t>
      </w:r>
      <w:r>
        <w:rPr>
          <w:rFonts w:ascii="仿宋_GB2312" w:hint="eastAsia"/>
          <w:color w:val="000000"/>
          <w:szCs w:val="32"/>
        </w:rPr>
        <w:t>进行审核汇总，于</w:t>
      </w:r>
      <w:r>
        <w:rPr>
          <w:rFonts w:ascii="仿宋_GB2312"/>
          <w:color w:val="000000"/>
          <w:szCs w:val="32"/>
        </w:rPr>
        <w:t>10月30日上午下班前</w:t>
      </w:r>
      <w:r>
        <w:rPr>
          <w:rFonts w:ascii="仿宋_GB2312" w:cs="宋体" w:hint="eastAsia"/>
          <w:color w:val="000000"/>
          <w:kern w:val="0"/>
          <w:szCs w:val="32"/>
          <w:lang w:bidi="ar-SA"/>
        </w:rPr>
        <w:t>以正式文件形式</w:t>
      </w:r>
      <w:r>
        <w:rPr>
          <w:rFonts w:ascii="仿宋_GB2312" w:cs="宋体"/>
          <w:color w:val="000000"/>
          <w:kern w:val="0"/>
          <w:szCs w:val="32"/>
          <w:lang w:bidi="ar-SA"/>
        </w:rPr>
        <w:t>报</w:t>
      </w:r>
      <w:r>
        <w:rPr>
          <w:rFonts w:ascii="仿宋_GB2312" w:cs="宋体" w:hint="eastAsia"/>
          <w:color w:val="000000"/>
          <w:kern w:val="0"/>
          <w:szCs w:val="32"/>
          <w:lang w:bidi="ar-SA"/>
        </w:rPr>
        <w:t>省农业农村厅</w:t>
      </w:r>
      <w:r>
        <w:rPr>
          <w:rFonts w:ascii="仿宋_GB2312" w:cs="宋体"/>
          <w:color w:val="000000"/>
          <w:kern w:val="0"/>
          <w:szCs w:val="32"/>
          <w:lang w:bidi="ar-SA"/>
        </w:rPr>
        <w:t>种植业管理处，电子版一并发送电子邮箱</w:t>
      </w:r>
      <w:r>
        <w:rPr>
          <w:rFonts w:ascii="仿宋_GB2312" w:cs="宋体"/>
          <w:bCs/>
          <w:color w:val="000000"/>
          <w:kern w:val="0"/>
          <w:szCs w:val="32"/>
          <w:lang w:bidi="ar-SA"/>
        </w:rPr>
        <w:t>，以便审核汇总报厅计财处备案。今后安排省级以上对下转移支付资金和预算内投资项目，原则上要从农业项目库中筛选安排。</w:t>
      </w:r>
    </w:p>
    <w:p>
      <w:pPr>
        <w:spacing w:line="600" w:lineRule="exact"/>
        <w:ind w:left="0" w:firstLineChars="200" w:firstLine="640"/>
        <w:rPr>
          <w:rFonts w:ascii="仿宋_GB2312" w:cs="宋体"/>
          <w:bCs/>
          <w:color w:val="000000"/>
          <w:kern w:val="0"/>
          <w:szCs w:val="32"/>
        </w:rPr>
      </w:pPr>
      <w:r>
        <w:rPr>
          <w:rFonts w:ascii="仿宋_GB2312" w:cs="宋体"/>
          <w:bCs/>
          <w:color w:val="000000"/>
          <w:kern w:val="0"/>
          <w:szCs w:val="32"/>
        </w:rPr>
        <w:t>联系处室：厅种植业管理处，联系人：周勇，联系电话：0591-87808283，传真：0591-87829440，电子邮箱：</w:t>
      </w:r>
      <w:r>
        <w:rPr>
          <w:rStyle w:val="0"/>
          <w:rFonts w:ascii="仿宋_GB2312" w:cs="宋体"/>
          <w:bCs/>
          <w:color w:val="000000"/>
          <w:kern w:val="0"/>
          <w:szCs w:val="32"/>
        </w:rPr>
        <w:t>nynctzzyglc@163.com</w:t>
      </w:r>
      <w:r>
        <w:rPr>
          <w:rFonts w:ascii="仿宋_GB2312" w:cs="宋体"/>
          <w:bCs/>
          <w:color w:val="000000"/>
          <w:kern w:val="0"/>
          <w:szCs w:val="32"/>
        </w:rPr>
        <w:t>。</w:t>
      </w:r>
    </w:p>
    <w:p>
      <w:pPr>
        <w:tabs>
          <w:tab w:val="left" w:pos="0"/>
        </w:tabs>
        <w:spacing w:line="600" w:lineRule="exact"/>
        <w:ind w:firstLineChars="200" w:firstLine="640"/>
        <w:rPr>
          <w:rFonts w:ascii="仿宋_GB2312" w:cs="宋体"/>
          <w:bCs/>
          <w:color w:val="000000"/>
          <w:kern w:val="0"/>
          <w:szCs w:val="32"/>
        </w:rPr>
      </w:pPr>
    </w:p>
    <w:p>
      <w:pPr>
        <w:tabs>
          <w:tab w:val="left" w:pos="0"/>
        </w:tabs>
        <w:spacing w:line="600" w:lineRule="exact"/>
        <w:ind w:firstLineChars="200" w:firstLine="640"/>
        <w:rPr>
          <w:rFonts w:ascii="仿宋_GB2312" w:cs="宋体"/>
          <w:bCs/>
          <w:color w:val="000000"/>
          <w:kern w:val="0"/>
          <w:szCs w:val="32"/>
        </w:rPr>
      </w:pPr>
      <w:r>
        <w:rPr>
          <w:rFonts w:ascii="仿宋_GB2312" w:cs="宋体"/>
          <w:bCs/>
          <w:color w:val="000000"/>
          <w:kern w:val="0"/>
          <w:szCs w:val="32"/>
        </w:rPr>
        <w:t>附件：</w:t>
      </w:r>
      <w:r>
        <w:rPr>
          <w:rFonts w:ascii="仿宋_GB2312" w:cs="宋体" w:hint="eastAsia"/>
          <w:bCs/>
          <w:color w:val="000000"/>
          <w:kern w:val="0"/>
          <w:szCs w:val="32"/>
        </w:rPr>
        <w:t>XX农业财政资金项目储备申报表（样表）</w:t>
      </w:r>
    </w:p>
    <w:p>
      <w:pPr>
        <w:tabs>
          <w:tab w:val="left" w:pos="0"/>
        </w:tabs>
        <w:spacing w:line="600" w:lineRule="exact"/>
        <w:ind w:firstLineChars="200" w:firstLine="640"/>
        <w:rPr>
          <w:rFonts w:ascii="仿宋_GB2312" w:cs="宋体"/>
          <w:bCs/>
          <w:color w:val="000000"/>
          <w:kern w:val="0"/>
          <w:szCs w:val="32"/>
        </w:rPr>
      </w:pPr>
    </w:p>
    <w:p>
      <w:pPr>
        <w:tabs>
          <w:tab w:val="left" w:pos="0"/>
        </w:tabs>
        <w:spacing w:line="600" w:lineRule="exact"/>
        <w:ind w:left="0"/>
        <w:jc w:val="right"/>
        <w:rPr>
          <w:rFonts w:ascii="仿宋_GB2312" w:cs="宋体"/>
          <w:bCs/>
          <w:color w:val="000000"/>
          <w:kern w:val="0"/>
          <w:szCs w:val="32"/>
        </w:rPr>
      </w:pPr>
      <w:r>
        <w:rPr>
          <w:rFonts w:ascii="仿宋_GB2312" w:cs="宋体"/>
          <w:bCs/>
          <w:color w:val="000000"/>
          <w:kern w:val="0"/>
          <w:szCs w:val="32"/>
        </w:rPr>
        <w:t>福建省农业农村厅</w:t>
      </w:r>
    </w:p>
    <w:p>
      <w:pPr>
        <w:tabs>
          <w:tab w:val="left" w:pos="0"/>
        </w:tabs>
        <w:spacing w:line="600" w:lineRule="exact"/>
        <w:ind w:left="0"/>
        <w:jc w:val="right"/>
        <w:rPr>
          <w:rFonts w:ascii="仿宋_GB2312" w:cs="宋体" w:hint="eastAsia"/>
          <w:bCs/>
          <w:color w:val="000000"/>
          <w:kern w:val="0"/>
          <w:szCs w:val="32"/>
          <w:u w:val="single"/>
        </w:rPr>
      </w:pPr>
      <w:r>
        <w:rPr>
          <w:rFonts w:ascii="仿宋_GB2312" w:cs="宋体"/>
          <w:bCs/>
          <w:color w:val="000000"/>
          <w:kern w:val="0"/>
          <w:szCs w:val="32"/>
        </w:rPr>
        <w:t>2020年9月</w:t>
      </w:r>
      <w:r>
        <w:rPr>
          <w:rFonts w:ascii="仿宋_GB2312" w:cs="宋体"/>
          <w:bCs/>
          <w:color w:val="000000"/>
          <w:kern w:val="0"/>
          <w:szCs w:val="32"/>
          <w:u w:color="auto"/>
        </w:rPr>
        <w:t>25日</w:t>
      </w:r>
    </w:p>
    <w:p>
      <w:pPr>
        <w:spacing w:line="600" w:lineRule="exact"/>
        <w:ind w:left="0"/>
        <w:rPr>
          <w:color w:val="000000"/>
        </w:rPr>
      </w:pPr>
    </w:p>
    <w:sectPr>
      <w:pgSz w:w="11907" w:h="16839"/>
      <w:pgMar w:top="1440" w:right="1800" w:bottom="1440" w:left="1800" w:header="851" w:footer="992" w:gutter="0"/>
      <w:docGrid w:type="lines" w:linePitch="435" w:charSpace="0"/>
    </w:sectPr>
  </w:body>
</w:document>
</file>

<file path=word/fontTable.xml><?xml version="1.0" encoding="utf-8"?>
<w:fonts xmlns:w="http://schemas.openxmlformats.org/wordprocessingml/2006/main" xmlns:r="http://schemas.openxmlformats.org/officeDocument/2006/relationships">
  <w:font w:name="方正小标宋简体">
    <w:panose1 w:val="03000509000000000000"/>
    <w:charset w:val="86"/>
    <w:family w:val="script"/>
    <w:pitch w:val="variable"/>
    <w:sig w:usb0="00000001" w:usb1="080E0000" w:usb2="00000000" w:usb3="00000000" w:csb0="00040000" w:csb1="00000000"/>
  </w:font>
  <w:font w:name="仿宋_GB2312">
    <w:panose1 w:val="02010609030101010101"/>
    <w:charset w:val="86"/>
    <w:family w:val="modern"/>
    <w:pitch w:val="variable"/>
    <w:sig w:usb0="00000001" w:usb1="080E0000" w:usb2="00000010" w:usb3="00000000" w:csb0="00040000" w:csb1="00000000"/>
  </w:font>
  <w:font w:name="黑体">
    <w:panose1 w:val="02010600030101010101"/>
    <w:charset w:val="86"/>
    <w:family w:val="auto"/>
    <w:pitch w:val="variable"/>
    <w:sig w:usb0="00000001" w:usb1="080E0000" w:usb2="00000000" w:usb3="00000000" w:csb0="00040000" w:csb1="00000000"/>
  </w:font>
  <w:font w:name="楷体_GB2312">
    <w:panose1 w:val="02010609030101010101"/>
    <w:charset w:val="86"/>
    <w:family w:val="auto"/>
    <w:pitch w:val="variable"/>
    <w:sig w:usb0="00000001" w:usb1="080E0000" w:usb2="00000000" w:usb3="00000000" w:csb0="00040000" w:csb1="00000000"/>
  </w:font>
  <w:font w:name="宋体">
    <w:panose1 w:val="02010600030101010101"/>
    <w:charset w:val="86"/>
    <w:family w:val="auto"/>
    <w:pitch w:val="variable"/>
    <w:sig w:usb0="00000003" w:usb1="080E0000" w:usb2="00000000" w:usb3="00000000" w:csb0="00040001" w:csb1="00000000"/>
  </w:font>
  <w:font w:name="Times New Roman">
    <w:panose1 w:val="02020603050405020304"/>
    <w:charset w:val="00"/>
    <w:family w:val="auto"/>
    <w:pitch w:val="variable"/>
    <w:sig w:usb0="00000A87" w:usb1="00000000" w:usb2="00000000" w:usb3="00000000" w:csb0="400001BF" w:csb1="DFF70000"/>
  </w:font>
  <w:font w:name="Arial">
    <w:panose1 w:val="020B0604020202020204"/>
    <w:charset w:val="00"/>
    <w:family w:val="auto"/>
    <w:pitch w:val="variable"/>
    <w:sig w:usb0="00007A87" w:usb1="80000000" w:usb2="00000008" w:usb3="00000000" w:csb0="400001FF" w:csb1="FFFF0000"/>
  </w:font>
  <w:font w:name="Arial Unicode MS">
    <w:altName w:val="Times New Roman"/>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10"/>
  <w:displayBackgroundShape/>
  <w:bordersDoNotSurroundHeader/>
  <w:bordersDoNotSurroundFooter/>
  <w:defaultTabStop w:val="420"/>
  <w:drawingGridHorizontalSpacing w:val="160"/>
  <w:drawingGridVerticalSpacing w:val="217"/>
  <w:displayHorizontalDrawingGridEvery w:val="0"/>
  <w:displayVerticalDrawingGridEvery w:val="1"/>
  <w:characterSpacingControl w:val="compressPunctuation"/>
  <w:compat>
    <w:spaceForUL/>
    <w:balanceSingleByteDoubleByteWidth/>
    <w:ulTrailSpace/>
    <w:doNotExpandShiftReturn/>
    <w:adjustLineHeightInTable/>
    <w:growAutofit/>
    <w:useAltKinsokuLineBreakRules/>
    <w:splitPgBreakAndParaMark/>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jc w:val="both"/>
    </w:pPr>
    <w:rPr>
      <w:rFonts w:ascii="Times New Roman" w:eastAsia="仿宋_GB2312" w:cs="Times New Roman" w:hAnsi="Times New Roman"/>
      <w:kern w:val="2"/>
      <w:sz w:val="32"/>
      <w:szCs w:val="24"/>
      <w:lang w:val="en-US" w:eastAsia="zh-CN" w:bidi="ar-SA"/>
    </w:rPr>
  </w:style>
  <w:style w:type="paragraph" w:styleId="1">
    <w:name w:val="heading 1"/>
    <w:basedOn w:val="0"/>
    <w:next w:val="0"/>
    <w:pPr>
      <w:keepNext/>
      <w:keepLines/>
      <w:widowControl w:val="0"/>
      <w:spacing w:before="340" w:after="330" w:line="578" w:lineRule="auto"/>
      <w:outlineLvl w:val="0"/>
    </w:pPr>
    <w:rPr>
      <w:b/>
      <w:kern w:val="44"/>
      <w:sz w:val="44"/>
    </w:rPr>
  </w:style>
  <w:style w:type="paragraph" w:styleId="2">
    <w:name w:val="heading 2"/>
    <w:basedOn w:val="0"/>
    <w:next w:val="0"/>
    <w:pPr>
      <w:keepNext/>
      <w:keepLines/>
      <w:widowControl w:val="0"/>
      <w:spacing w:before="260" w:after="260" w:line="415" w:lineRule="auto"/>
      <w:outlineLvl w:val="1"/>
    </w:pPr>
    <w:rPr>
      <w:rFonts w:ascii="Arial" w:eastAsia="黑体" w:hAnsi="Arial"/>
      <w:b/>
      <w:sz w:val="32"/>
    </w:rPr>
  </w:style>
  <w:style w:type="paragraph" w:styleId="3">
    <w:name w:val="heading 3"/>
    <w:basedOn w:val="0"/>
    <w:next w:val="0"/>
    <w:pPr>
      <w:keepNext/>
      <w:keepLines/>
      <w:widowControl w:val="0"/>
      <w:spacing w:before="260" w:after="260" w:line="415" w:lineRule="auto"/>
      <w:outlineLvl w:val="2"/>
    </w:pPr>
    <w:rPr>
      <w:b/>
      <w:sz w:val="32"/>
    </w:rPr>
  </w:style>
  <w:style w:type="character" w:default="1" w:styleId="10">
    <w:name w:val="Default Paragraph Font"/>
  </w:style>
  <w:style w:type="paragraph" w:styleId="15">
    <w:name w:val="index 5"/>
    <w:basedOn w:val="0"/>
    <w:autoRedefine/>
    <w:next w:val="0"/>
    <w:pPr>
      <w:ind w:left="1680"/>
    </w:pPr>
  </w:style>
  <w:style w:type="paragraph" w:customStyle="1" w:styleId="16">
    <w:name w:val="p0"/>
    <w:next w:val="15"/>
    <w:pPr>
      <w:widowControl/>
      <w:jc w:val="both"/>
    </w:pPr>
    <w:rPr>
      <w:rFonts w:ascii="Times New Roman" w:eastAsia="Arial Unicode MS" w:cs="Times New Roman" w:hAnsi="Times New Roman"/>
      <w:kern w:val="0"/>
      <w:sz w:val="21"/>
      <w:szCs w:val="21"/>
      <w:lang w:val="en-US" w:eastAsia="zh-CN" w:bidi="ar-SA"/>
    </w:rPr>
  </w:style>
  <w:style w:type="paragraph" w:styleId="17">
    <w:name w:val="footer"/>
    <w:basedOn w:val="0"/>
    <w:pPr>
      <w:tabs>
        <w:tab w:val="center" w:pos="4153"/>
        <w:tab w:val="right" w:pos="8307"/>
      </w:tabs>
      <w:snapToGrid w:val="0"/>
      <w:jc w:val="left"/>
    </w:pPr>
    <w:rPr>
      <w:sz w:val="18"/>
    </w:rPr>
  </w:style>
  <w:style w:type="character" w:styleId="18">
    <w:name w:val="page number"/>
    <w:basedOn w:val="10"/>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1832</TotalTime>
  <Application>Yozo_Office</Application>
  <Pages>3</Pages>
  <Words>1175</Words>
  <Characters>1233</Characters>
  <Lines>63</Lines>
  <Paragraphs>22</Paragraphs>
  <CharactersWithSpaces>1233</CharactersWithSpaces>
  <Company>Microsoft</Company>
</Properties>
</file>

<file path=docProps/core.xml><?xml version="1.0" encoding="utf-8"?>
<cp:coreProperties xmlns:cp="http://schemas.openxmlformats.org/package/2006/metadata/core-properties" xmlns:dc="http://purl.org/dc/elements/1.1/" xmlns:dcterms="http://purl.org/dc/terms/" xmlns:xsi="http://www.w3.org/2001/XMLSchema-instance">
  <dc:creator>Microsoft</dc:creator>
  <cp:lastModifiedBy>姚文辉</cp:lastModifiedBy>
  <cp:revision>1</cp:revision>
  <cp:lastPrinted>2020-09-24T07:12:59Z</cp:lastPrinted>
  <dcterms:created xsi:type="dcterms:W3CDTF">2020-09-23T02:13:40Z</dcterms:created>
  <dcterms:modified xsi:type="dcterms:W3CDTF">2020-09-25T09:05:24Z</dcterms:modified>
</cp:coreProperties>
</file>