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32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</w:p>
    <w:p>
      <w:pPr>
        <w:ind w:right="320"/>
        <w:jc w:val="lef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ind w:right="318"/>
        <w:jc w:val="center"/>
        <w:rPr>
          <w:rFonts w:ascii="方正小标宋简体" w:hAnsi="黑体" w:eastAsia="方正小标宋简体"/>
          <w:sz w:val="36"/>
          <w:szCs w:val="36"/>
        </w:rPr>
      </w:pPr>
      <w:r>
        <w:rPr>
          <w:rFonts w:hint="eastAsia" w:ascii="方正小标宋简体" w:hAnsi="黑体" w:eastAsia="方正小标宋简体"/>
          <w:sz w:val="36"/>
          <w:szCs w:val="36"/>
        </w:rPr>
        <w:t>平潭综合实验区2020年度第一批区级非物质</w:t>
      </w:r>
    </w:p>
    <w:p>
      <w:pPr>
        <w:spacing w:line="600" w:lineRule="exact"/>
        <w:ind w:right="318"/>
        <w:jc w:val="center"/>
        <w:rPr>
          <w:rFonts w:ascii="方正小标宋简体" w:hAnsi="黑体" w:eastAsia="方正小标宋简体"/>
          <w:sz w:val="36"/>
          <w:szCs w:val="36"/>
        </w:rPr>
      </w:pPr>
      <w:r>
        <w:rPr>
          <w:rFonts w:hint="eastAsia" w:ascii="方正小标宋简体" w:hAnsi="黑体" w:eastAsia="方正小标宋简体"/>
          <w:sz w:val="36"/>
          <w:szCs w:val="36"/>
        </w:rPr>
        <w:t>文化遗产代表性项目及代表性传承人名录</w:t>
      </w:r>
    </w:p>
    <w:tbl>
      <w:tblPr>
        <w:tblStyle w:val="3"/>
        <w:tblpPr w:leftFromText="180" w:rightFromText="180" w:vertAnchor="text" w:horzAnchor="page" w:tblpX="1173" w:tblpY="419"/>
        <w:tblOverlap w:val="never"/>
        <w:tblW w:w="96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8"/>
        <w:gridCol w:w="1569"/>
        <w:gridCol w:w="2519"/>
        <w:gridCol w:w="2085"/>
        <w:gridCol w:w="27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tblHeader/>
        </w:trPr>
        <w:tc>
          <w:tcPr>
            <w:tcW w:w="7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序号</w:t>
            </w:r>
          </w:p>
        </w:tc>
        <w:tc>
          <w:tcPr>
            <w:tcW w:w="156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项目类别</w:t>
            </w:r>
          </w:p>
        </w:tc>
        <w:tc>
          <w:tcPr>
            <w:tcW w:w="25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项 目 名 称</w:t>
            </w:r>
          </w:p>
        </w:tc>
        <w:tc>
          <w:tcPr>
            <w:tcW w:w="20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保护单位</w:t>
            </w:r>
          </w:p>
        </w:tc>
        <w:tc>
          <w:tcPr>
            <w:tcW w:w="2726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b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代表性传承人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58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1</w:t>
            </w:r>
          </w:p>
        </w:tc>
        <w:tc>
          <w:tcPr>
            <w:tcW w:w="1569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Ⅸ</w:t>
            </w:r>
          </w:p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传统医药（共1项）</w:t>
            </w:r>
          </w:p>
        </w:tc>
        <w:tc>
          <w:tcPr>
            <w:tcW w:w="2519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w w:val="95"/>
                <w:sz w:val="32"/>
                <w:szCs w:val="32"/>
              </w:rPr>
              <w:t>郑氏药浴导引按跷疗法</w:t>
            </w:r>
          </w:p>
        </w:tc>
        <w:tc>
          <w:tcPr>
            <w:tcW w:w="2085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福建省平潭斗魁医疗科技有限公司</w:t>
            </w:r>
          </w:p>
        </w:tc>
        <w:tc>
          <w:tcPr>
            <w:tcW w:w="2726" w:type="dxa"/>
            <w:vMerge w:val="restart"/>
            <w:tcBorders>
              <w:top w:val="nil"/>
              <w:left w:val="single" w:color="auto" w:sz="4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郑华敏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5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</w:pPr>
          </w:p>
        </w:tc>
        <w:tc>
          <w:tcPr>
            <w:tcW w:w="1569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</w:pPr>
          </w:p>
        </w:tc>
        <w:tc>
          <w:tcPr>
            <w:tcW w:w="2519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</w:pPr>
          </w:p>
        </w:tc>
        <w:tc>
          <w:tcPr>
            <w:tcW w:w="2085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</w:p>
        </w:tc>
        <w:tc>
          <w:tcPr>
            <w:tcW w:w="2726" w:type="dxa"/>
            <w:vMerge w:val="continue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2</w:t>
            </w:r>
          </w:p>
        </w:tc>
        <w:tc>
          <w:tcPr>
            <w:tcW w:w="1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ind w:firstLine="304" w:firstLineChars="100"/>
              <w:jc w:val="both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 xml:space="preserve">  Ⅷ</w:t>
            </w:r>
          </w:p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传统技艺</w:t>
            </w:r>
          </w:p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（共1项）</w:t>
            </w:r>
          </w:p>
        </w:tc>
        <w:tc>
          <w:tcPr>
            <w:tcW w:w="25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福建贝雕（平潭）</w:t>
            </w:r>
          </w:p>
        </w:tc>
        <w:tc>
          <w:tcPr>
            <w:tcW w:w="2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福建映像海坛文化创意有限公司</w:t>
            </w:r>
          </w:p>
        </w:tc>
        <w:tc>
          <w:tcPr>
            <w:tcW w:w="27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pStyle w:val="2"/>
              <w:widowControl/>
              <w:wordWrap w:val="0"/>
              <w:spacing w:beforeAutospacing="0" w:afterAutospacing="0" w:line="520" w:lineRule="exact"/>
              <w:jc w:val="center"/>
              <w:rPr>
                <w:rFonts w:ascii="仿宋_GB2312" w:hAnsi="仿宋_GB2312" w:eastAsia="仿宋_GB2312" w:cs="仿宋_GB2312"/>
                <w:w w:val="95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w w:val="95"/>
                <w:sz w:val="32"/>
                <w:szCs w:val="32"/>
              </w:rPr>
              <w:t>蒋心忠</w:t>
            </w:r>
          </w:p>
        </w:tc>
      </w:tr>
    </w:tbl>
    <w:p>
      <w:pPr>
        <w:spacing w:line="600" w:lineRule="exact"/>
        <w:ind w:right="318"/>
        <w:jc w:val="center"/>
        <w:rPr>
          <w:rFonts w:ascii="方正小标宋简体" w:hAnsi="黑体" w:eastAsia="方正小标宋简体"/>
          <w:sz w:val="36"/>
          <w:szCs w:val="36"/>
        </w:rPr>
      </w:pPr>
    </w:p>
    <w:p>
      <w:bookmarkStart w:id="0" w:name="_GoBack"/>
      <w:bookmarkEnd w:id="0"/>
    </w:p>
    <w:sectPr>
      <w:pgSz w:w="11906" w:h="16838"/>
      <w:pgMar w:top="2098" w:right="1474" w:bottom="1984" w:left="1587" w:header="851" w:footer="1361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739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2020-10-10T01:16:43Z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