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</w:rPr>
        <w:t>评标方法和标准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0"/>
          <w:sz w:val="32"/>
          <w:szCs w:val="32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textAlignment w:val="auto"/>
        <w:rPr>
          <w:sz w:val="32"/>
          <w:szCs w:val="32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黑体"/>
          <w:spacing w:val="0"/>
          <w:sz w:val="32"/>
          <w:szCs w:val="32"/>
        </w:rPr>
        <w:t>评标方法：</w:t>
      </w:r>
      <w:r>
        <w:rPr>
          <w:rFonts w:hint="default" w:ascii="仿宋_GB2312" w:hAnsi="仿宋_GB2312" w:eastAsia="仿宋_GB2312" w:cs="仿宋_GB2312"/>
          <w:sz w:val="32"/>
          <w:szCs w:val="32"/>
        </w:rPr>
        <w:t>采用综合评分法。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textAlignment w:val="auto"/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  <w:t>二、</w:t>
      </w:r>
      <w:r>
        <w:rPr>
          <w:rFonts w:hint="default" w:ascii="黑体" w:hAnsi="黑体" w:eastAsia="黑体" w:cs="黑体"/>
          <w:spacing w:val="0"/>
          <w:sz w:val="32"/>
          <w:szCs w:val="32"/>
          <w:lang w:eastAsia="zh-CN"/>
        </w:rPr>
        <w:t>评标标准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一</w:t>
      </w:r>
      <w:r>
        <w:rPr>
          <w:rFonts w:hint="eastAsia" w:ascii="楷体_GB2312" w:hAnsi="楷体_GB2312" w:eastAsia="楷体_GB2312" w:cs="楷体_GB2312"/>
          <w:sz w:val="32"/>
          <w:szCs w:val="32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投标文件满足招标文件全部实质性要求，且按照评审因素的量化指标评审得分（即评标总得分）最高的投标人为中标候选人。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sz w:val="32"/>
          <w:szCs w:val="32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二</w:t>
      </w:r>
      <w:r>
        <w:rPr>
          <w:rFonts w:hint="default" w:ascii="楷体_GB2312" w:hAnsi="楷体_GB2312" w:eastAsia="楷体_GB2312" w:cs="楷体_GB2312"/>
          <w:sz w:val="32"/>
          <w:szCs w:val="32"/>
        </w:rPr>
        <w:t>）</w:t>
      </w:r>
      <w:r>
        <w:rPr>
          <w:rFonts w:hint="default" w:ascii="仿宋_GB2312" w:hAnsi="仿宋_GB2312" w:eastAsia="仿宋_GB2312" w:cs="仿宋_GB2312"/>
          <w:sz w:val="32"/>
          <w:szCs w:val="32"/>
        </w:rPr>
        <w:t>每个投标人的评标总得分FA＝F1＋F2＋F3，其中：F1指价格项评审因素得分、F2指技术项评审因素得分、F3指商务项评审因素得分。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sz w:val="32"/>
          <w:szCs w:val="32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三</w:t>
      </w:r>
      <w:r>
        <w:rPr>
          <w:rFonts w:hint="default" w:ascii="楷体_GB2312" w:hAnsi="楷体_GB2312" w:eastAsia="楷体_GB2312" w:cs="楷体_GB2312"/>
          <w:sz w:val="32"/>
          <w:szCs w:val="32"/>
        </w:rPr>
        <w:t>）各项评审因素的设置如下</w:t>
      </w:r>
      <w:r>
        <w:rPr>
          <w:rFonts w:hint="default" w:ascii="宋体" w:hAnsi="宋体" w:eastAsia="宋体" w:cs="宋体"/>
          <w:sz w:val="32"/>
          <w:szCs w:val="32"/>
        </w:rPr>
        <w:t>：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1.</w:t>
      </w:r>
      <w:r>
        <w:rPr>
          <w:rFonts w:hint="default" w:ascii="仿宋_GB2312" w:hAnsi="仿宋_GB2312" w:eastAsia="仿宋_GB2312" w:cs="仿宋_GB2312"/>
          <w:sz w:val="32"/>
          <w:szCs w:val="32"/>
        </w:rPr>
        <w:t>价格项满分为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default" w:ascii="仿宋_GB2312" w:hAnsi="仿宋_GB2312" w:eastAsia="仿宋_GB2312" w:cs="仿宋_GB2312"/>
          <w:sz w:val="32"/>
          <w:szCs w:val="32"/>
        </w:rPr>
        <w:t>0分。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保费为统一标准为每亩1.5元，投保亩数为：100593亩，保险时间从2023年8月21日至2023年12月31日所需保险费用为62870.68元，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提供有效报价为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62870.68元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文件的，即得到满分，未提供报价的不得分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2.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技术项满分为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0分。</w:t>
      </w:r>
    </w:p>
    <w:tbl>
      <w:tblPr>
        <w:tblStyle w:val="4"/>
        <w:tblW w:w="0" w:type="auto"/>
        <w:tblCellSpacing w:w="0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761"/>
        <w:gridCol w:w="7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评标项目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评标分值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评标方法描述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理赔查勘车辆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根据投标人车辆数进行排名，排名第一名的得五分，以此类推，第六名以后及低于2台的不得分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,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（车辆所有人须为投标人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平潭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分支机构），否则不得分。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索赔申请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投标人承诺对于为查明和确定保险事故的性质、原因和保险标的的损失程度等必要的、合理的费用（包括但不限于现场勘察鉴定费、第三方仲裁费等），由投标人承担。承诺得5分，未承诺不得分。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赔付承诺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承诺中标后即使在亏损情况下，仍及时作出赔付的得5分。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理赔人员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提供理赔人员人数证明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进行排名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，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排名第一名的得五分，以此类推，第六名以后及低于2台的不得分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时间承诺1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承诺在接报案后48小时内开展现场查勘工作。因不可抗力或重大灾害等原因难以到达查勘的，以及需要设定观察期来确定损失的，应及时与报案人联系，说明原因并约定查勘时间。承诺得5分，未承诺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时间承诺2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承诺现场查勘确定损失工作后10天内与被保险人达成赔偿协议。承诺得5分，未承诺不得分。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时间承诺3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承诺发生保险责任范围内的事故时，在与被保险人达成赔偿协议后10日内，将应赔偿的保险金支付给被保险人。承诺得5分，未承诺不得分。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制度建设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投标人承诺提供完善的农业保险内控制度得5分，包括森林保险承保实务规程、森林保险理赔实务规程、农业保险业务档案管理办法、大灾应急预案。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单亩保额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提供的单亩保额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进行排名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，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排名第一名的得五分，以此类推，第六名以后及低于2台的不得分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。单亩保额不得低于680元/亩。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保障机制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投标人建立森林综合保险大灾风险保障机制（含省或市级大灾风险分散机制）的得5分，未提供不得分。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firstLine="0"/>
        <w:textAlignment w:val="auto"/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3.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商务项满分为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3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0分。</w:t>
      </w:r>
    </w:p>
    <w:tbl>
      <w:tblPr>
        <w:tblStyle w:val="4"/>
        <w:tblW w:w="0" w:type="auto"/>
        <w:tblCellSpacing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809"/>
        <w:gridCol w:w="7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评标项目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评标分值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评标方法描述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业绩经验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提供历史两年内的承保经验，保单或者服务协议方式体现，未能提供的或业绩资料提供不齐全，不得分。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服务机构1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需当地有设立服务机构，市分公司或中心支公司等级以上得5分，支公司得4分，营销服务部得3分，未设立机构不得分（需提供营业执照及保监局颁发的经营许可证正本复印件为依据，并加盖投标人公章）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服务机构2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在项目所在当地机构等级的成立年限进行评分，市分公司或中心支公司的成立三年以上的得5分，一到三年得3分，一年以内不得分，支公司成立三年以上的得4分，一到三年的得2分，一年以内不得分，营销服务部成立三年以上的得3分，一到三年得1分，一年以内不得分（需提供营业执照及保监局颁发的经营许可证正本复印件为依据，并加盖投标人公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经营场所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投标人在平潭有固定的自有场所或租赁场所得5分，无不得分。(提供投标人产权证复印件，无产权的提供投标人租赁协议及近三个月的租赁发票复印件，并加盖投标人公章)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偿付能力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所属总公司2023年第一季度偿付能力报告摘要中主要指标“核心偿付能力充足率”从高到低顺序进行评分，充足率最高的得5分，第二高的得3分，第三高的得1分，其他的得0.5分，未提供不得分。（需提供投标人各自总公司官网发布的2023年第一季度偿付能力报告摘要主要指标“核心偿付能力充足率”信息复印件，并加盖投标人单位公章，否则不得分。同时列明总公司官网链接网址，以备必要时进行核实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服务评级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提供信用中国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 xml:space="preserve">    </w:t>
      </w: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四</w:t>
      </w:r>
      <w:r>
        <w:rPr>
          <w:rFonts w:hint="eastAsia" w:ascii="楷体_GB2312" w:hAnsi="楷体_GB2312" w:eastAsia="楷体_GB2312" w:cs="楷体_GB2312"/>
          <w:sz w:val="32"/>
          <w:szCs w:val="32"/>
        </w:rPr>
        <w:t>）中标候选人排列规则顺序如下：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0"/>
        <w:jc w:val="both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 xml:space="preserve">    1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.按照评标总得分（FA）由高到低顺序排列。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0"/>
        <w:jc w:val="center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 xml:space="preserve">    2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.评标总得分（FA）相同的，按照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技术标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由低到高顺序排列。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0"/>
        <w:textAlignment w:val="auto"/>
        <w:rPr>
          <w:sz w:val="32"/>
          <w:szCs w:val="32"/>
        </w:rPr>
      </w:pP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B515A"/>
    <w:rsid w:val="06267232"/>
    <w:rsid w:val="17FDA102"/>
    <w:rsid w:val="1810342C"/>
    <w:rsid w:val="1F78CFAE"/>
    <w:rsid w:val="5DD996BD"/>
    <w:rsid w:val="5E822F2B"/>
    <w:rsid w:val="5FFE676A"/>
    <w:rsid w:val="62BB515A"/>
    <w:rsid w:val="7ECDED02"/>
    <w:rsid w:val="CEFBB786"/>
    <w:rsid w:val="DD6BEC04"/>
    <w:rsid w:val="DFF9ECD0"/>
    <w:rsid w:val="E7FA62F5"/>
    <w:rsid w:val="EEDBE5C7"/>
    <w:rsid w:val="F97E985F"/>
    <w:rsid w:val="FAFB8750"/>
    <w:rsid w:val="FE560C7A"/>
    <w:rsid w:val="FF9125B6"/>
    <w:rsid w:val="FFFC1AC2"/>
    <w:rsid w:val="FFFC3B97"/>
    <w:rsid w:val="FFFD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2023-06-17T00:49:00Z</dcterms:created>
  <dc:creator>Administrator</dc:creator>
  <cp:lastModifiedBy>pingtan</cp:lastModifiedBy>
  <dcterms:modified xsi:type="dcterms:W3CDTF">2023-06-20T11:42:55Z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