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keepNext w:val="0"/>
        <w:keepLines w:val="0"/>
        <w:pageBreakBefore w:val="0"/>
        <w:widowControl w:val="0"/>
        <w:kinsoku/>
        <w:wordWrap/>
        <w:overflowPunct/>
        <w:topLinePunct w:val="0"/>
        <w:autoSpaceDE/>
        <w:autoSpaceDN/>
        <w:bidi w:val="0"/>
        <w:adjustRightInd/>
        <w:snapToGrid/>
        <w:spacing w:line="1000" w:lineRule="exact"/>
        <w:jc w:val="center"/>
        <w:textAlignment w:val="auto"/>
        <w:rPr>
          <w:rFonts w:hint="eastAsia" w:ascii="方正小标宋简体" w:hAnsi="方正小标宋简体" w:eastAsia="方正小标宋简体" w:cs="方正小标宋简体"/>
          <w:sz w:val="72"/>
          <w:szCs w:val="72"/>
          <w:lang w:val="en-US" w:eastAsia="zh-CN"/>
        </w:rPr>
      </w:pP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rPr>
        <w:t>气瓶生产单位</w:t>
      </w:r>
    </w:p>
    <w:p>
      <w:pPr>
        <w:jc w:val="center"/>
        <w:rPr>
          <w:rFonts w:ascii="方正小标宋简体" w:hAnsi="方正小标宋简体" w:eastAsia="方正小标宋简体" w:cs="方正小标宋简体"/>
          <w:sz w:val="72"/>
          <w:szCs w:val="72"/>
        </w:rPr>
      </w:pPr>
      <w:r>
        <w:rPr>
          <w:rFonts w:hint="eastAsia" w:ascii="方正小标宋简体" w:hAnsi="方正小标宋简体" w:eastAsia="方正小标宋简体" w:cs="方正小标宋简体"/>
          <w:sz w:val="72"/>
          <w:szCs w:val="72"/>
          <w:lang w:val="en-US" w:eastAsia="zh-CN"/>
        </w:rPr>
        <w:t>质量</w:t>
      </w:r>
      <w:r>
        <w:rPr>
          <w:rFonts w:hint="eastAsia" w:ascii="方正小标宋简体" w:hAnsi="方正小标宋简体" w:eastAsia="方正小标宋简体" w:cs="方正小标宋简体"/>
          <w:sz w:val="72"/>
          <w:szCs w:val="72"/>
        </w:rPr>
        <w:t>安全总监题库</w:t>
      </w: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44"/>
          <w:szCs w:val="44"/>
        </w:rPr>
      </w:pP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题库编制组</w:t>
      </w:r>
    </w:p>
    <w:p>
      <w:pPr>
        <w:jc w:val="center"/>
        <w:rPr>
          <w:rFonts w:ascii="方正小标宋简体" w:hAnsi="方正小标宋简体" w:eastAsia="方正小标宋简体" w:cs="方正小标宋简体"/>
          <w:sz w:val="36"/>
          <w:szCs w:val="36"/>
        </w:rPr>
      </w:pPr>
      <w:r>
        <w:rPr>
          <w:rFonts w:hint="eastAsia" w:ascii="方正小标宋简体" w:hAnsi="方正小标宋简体" w:eastAsia="方正小标宋简体" w:cs="方正小标宋简体"/>
          <w:sz w:val="36"/>
          <w:szCs w:val="36"/>
        </w:rPr>
        <w:t>2024年6月20日</w:t>
      </w:r>
    </w:p>
    <w:p>
      <w:pPr>
        <w:jc w:val="center"/>
        <w:rPr>
          <w:rFonts w:ascii="方正小标宋简体" w:hAnsi="方正小标宋简体" w:eastAsia="方正小标宋简体" w:cs="方正小标宋简体"/>
          <w:sz w:val="36"/>
          <w:szCs w:val="36"/>
        </w:rPr>
      </w:pPr>
    </w:p>
    <w:p>
      <w:pPr>
        <w:jc w:val="center"/>
        <w:rPr>
          <w:rFonts w:ascii="方正小标宋简体" w:hAnsi="方正小标宋简体" w:eastAsia="方正小标宋简体" w:cs="方正小标宋简体"/>
          <w:sz w:val="36"/>
          <w:szCs w:val="36"/>
        </w:r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36"/>
          <w:szCs w:val="36"/>
        </w:rPr>
        <w:sectPr>
          <w:pgSz w:w="11906" w:h="16838"/>
          <w:pgMar w:top="2098" w:right="1531" w:bottom="1984" w:left="1531" w:header="851" w:footer="992" w:gutter="0"/>
          <w:pgNumType w:fmt="decimal"/>
          <w:cols w:space="425" w:num="1"/>
          <w:docGrid w:type="lines" w:linePitch="312" w:charSpace="0"/>
        </w:sectPr>
      </w:pPr>
    </w:p>
    <w:p>
      <w:pPr>
        <w:keepNext w:val="0"/>
        <w:keepLines w:val="0"/>
        <w:pageBreakBefore w:val="0"/>
        <w:widowControl w:val="0"/>
        <w:kinsoku/>
        <w:wordWrap/>
        <w:overflowPunct/>
        <w:topLinePunct w:val="0"/>
        <w:autoSpaceDE/>
        <w:autoSpaceDN/>
        <w:bidi w:val="0"/>
        <w:adjustRightInd/>
        <w:snapToGrid/>
        <w:spacing w:line="600" w:lineRule="exact"/>
        <w:jc w:val="both"/>
        <w:textAlignment w:val="auto"/>
        <w:rPr>
          <w:rFonts w:hint="eastAsia" w:ascii="方正小标宋简体" w:hAnsi="方正小标宋简体" w:eastAsia="方正小标宋简体" w:cs="方正小标宋简体"/>
          <w:sz w:val="36"/>
          <w:szCs w:val="36"/>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r>
        <w:rPr>
          <w:rFonts w:hint="eastAsia" w:ascii="方正小标宋简体" w:hAnsi="方正小标宋简体" w:eastAsia="方正小标宋简体" w:cs="方正小标宋简体"/>
          <w:sz w:val="44"/>
          <w:szCs w:val="44"/>
        </w:rPr>
        <w:t>气瓶质量安全总监</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rPr>
      </w:pP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判断题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1、根据《气瓶安全技术规程》（TSG 23-2021）的规定，气瓶制造单位应当对进厂材料的材料质量证明书和材料标志进行审核，并且按照炉罐号对制造气瓶的金属材料进行化学成分验证分析。（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2、根据《气瓶安全技术规程》（TSG 23-2021）的规定，制造气瓶承压部件的材料，应当在分割或者使用后进行标志移植，保证材料具有可追溯性。（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3、根据《气瓶安全技术规程》（TSG 23-2021）的规定，材料制造单位应当在材料的明显部位做出清晰、牢固的钢印标志或者其他可追溯的标志。（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4、根据《气瓶安全技术规程》（TSG 23-2021）的规定，气瓶制造单位应当对所选用的气瓶材料以及材料质量证明书的真实性、可追溯性与一致性负责。（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5、根据《气瓶安全技术规程》（TSG 23-2021）的规定，气瓶保护附件，包括固定式瓶帽、保护罩、底座、颈圈等。（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6、根据《气瓶安全技术规程》（TSG 23-2021）的规定，气瓶制造信息平台追溯信息记录和凭证保存期限应当不大于气瓶的设计使用年限。（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7、根据《中华人民共和国特种设备安全法》的规定，特种设备的生产单位包括特种设备设计、制造、安装、改造、修理单位。（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中华人民共和国特种设备安全法》的规定，特种设备出厂时，应当随附安全技术规范要求的设计文件、产品质量合格证明、安装及使用维护保养说明、监督检验证明等相关技术资料和文件，并在特种设备显著位置设置产品铭牌、安全警示标志及其说明。（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中华人民共和国特种设备安全法》的规定，特种设备安装、改造、修理的施工单位应当在施工前将拟进行的特种设备安装、改造、修理情况书面告知直辖市或者设区的市级人民政府负责特种设备安全监督管理的部门。（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10、根据《中华人民共和国特种设备安全法》的规定，气瓶的安装、改造、重大修理过程，应当经特种设备检验机构按照安全技术规范的要求进行监督检验。（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11、根据《特种设备安全监察条例》的规定，特种设备安装、改造、维修的施工单位在告知后即可施工。（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12、根据《特种设备安全监察条例》的规定，气瓶的安装、改造、维修竣工后，安装、改造、维修的施工单位应当在验收后30日内将有关技术资料移交使用单位。（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13、根据《特种设备作业人员监督管理办法》的规定，用人单位可不建立特种设备作业人员管理档案。（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14、根据《特种设备生产和充装单位许可规则》（TSG 07-2019）及第1号修改单的规定，特种设备许可证书有效期为4年。（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07-2019）及第1号修改单的规定，生产和充装单位资源条件要求的生产（充装）设备（厂房附属的起重设备除外）、工艺装备、检测仪器、试验装置等一般不允许承租。（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16、根据《特种设备安全监督检查办法》的规定，特种设备生产、经营、使用单位和检验、检测机构及其人员应当积极配合市场监督管理部门依法实施的特种设备安全监督检查。（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17、根据《特种设备安全监督检查办法》的规定，未经许可，擅自从事特种设备生产、电梯维护保养、移动式压力容器充装或者气瓶充装活动的，属于重大违法行为。（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18、根据《特种设备事故报告和调查处理规定》的规定，人为破坏或者利用特种设备实施违法犯罪导致的事故，不属于特种设备事故。（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19、根据《特种设备生产单位落实质量安全主体责任监督管理规定》的规定，气瓶生产单位主要负责人在作出涉及气瓶质量安全的重大决策前，应当充分听取质量安全总监和质量安全员的意见和建议。（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单位落实质量安全主体责任监督管理规定》的规定，质量安全总监、质量安全员发现气瓶产品存在危及安全的缺陷时，应当提出停止相关气瓶生产等否决建议，气瓶生产单位应当立即分析研判，采取处置措施，消除风险隐患。（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A、正确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B、错误</w:t>
      </w:r>
    </w:p>
    <w:p>
      <w:pPr>
        <w:keepNext w:val="0"/>
        <w:keepLines w:val="0"/>
        <w:pageBreakBefore w:val="0"/>
        <w:widowControl w:val="0"/>
        <w:numPr>
          <w:ilvl w:val="0"/>
          <w:numId w:val="1"/>
        </w:numPr>
        <w:kinsoku/>
        <w:wordWrap/>
        <w:overflowPunct w:val="0"/>
        <w:topLinePunct w:val="0"/>
        <w:autoSpaceDE/>
        <w:autoSpaceDN/>
        <w:bidi w:val="0"/>
        <w:adjustRightInd/>
        <w:snapToGrid/>
        <w:spacing w:line="380" w:lineRule="exact"/>
        <w:jc w:val="both"/>
        <w:rPr>
          <w:rFonts w:ascii="黑体" w:hAnsi="黑体" w:eastAsia="黑体" w:cs="黑体"/>
          <w:sz w:val="32"/>
          <w:szCs w:val="32"/>
        </w:rPr>
      </w:pPr>
      <w:r>
        <w:rPr>
          <w:rFonts w:hint="eastAsia" w:ascii="黑体" w:hAnsi="黑体" w:eastAsia="黑体" w:cs="黑体"/>
          <w:sz w:val="32"/>
          <w:szCs w:val="32"/>
        </w:rPr>
        <w:t>选择题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1、根据《气瓶安全技术规程》（TSG 23-2021）的规定，焊接工艺评定记录和评定报告等技术档案以及焊接评定试样应当保存（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B、7年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C、10年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D、至该评定失效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2、根据《气瓶安全技术规程》（TSG 23-2021）的规定，制造单位及其（      ）应当对所制造的气瓶产品安全性能负责。</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A、主要负责人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B、技术负责人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C、质量保证工程师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D、法人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3、根据《气瓶安全技术规程》（TSG 23-2021）的规定，气瓶设计鉴定文件资料，应当作为存档资料（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A、长期保存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D、7年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4、根据《气瓶安全技术规程》（TSG 23-2021）的规定，气瓶型式试验报告、各种工艺评定报告、工艺文件等技术资料，应当作为存档资料（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A、长期保存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D、7年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5、根据《气瓶安全技术规程》（TSG 23-2021）的规定，气瓶产品档案可以采用电子或者纸质资料的方式保存，保存期限应当（      ）气瓶设计使用年限。</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A、不少于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B、少于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C、等于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D、不大于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6、根据《气瓶安全技术规程》（TSG 23-2021）的规定，气瓶出厂时，制造单位应当（      ）出具产品质量合格证。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A、逐只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B、按批</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C、按类型</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D、按类别</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7、根据《气瓶安全技术规程》（TSG 23-2021）的规定，气瓶出厂时，制造单位应当逐只出具产品质量合格证和（      ）出具产品批量质量证明书。</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A、逐只</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B、按批</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C、按类型</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D、按类别</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8、根据《气瓶安全技术规程》（TSG 23-2021）的规定，气瓶出厂时，产品质量合格证和产品批量质量证明书的内容，应当符合相关产品标准的要求，并且应当由制造单位（      ）签字或者盖章。</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A、检验责任工程师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C、技术负责人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D、质量保证工程师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9、根据《气瓶安全技术规程》（TSG 23-2021）的规定，气瓶制造信息平台追溯信息记录和凭证保存期限应当（      ）气瓶的设计使用年限。</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A、不少于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B、少于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C、等于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D、不大于</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10、根据《中华人民共和国特种设备安全法》的规定，特种设备的（      ）单位包括特种设备设计、制造、安装、改造、修理单位。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A、生产</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B、制造</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C、安装</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D、设计</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11、根据《中华人民共和国特种设备安全法》的规定，特种设备安装、改造、修理的施工单位应当在施工前将拟进行的特种设备安装、改造、修理情况书面（      ）直辖市或者设区的市级人民政府负责特种设备安全监督管理的部门。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A、告知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C、汇报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D、请示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12、根据《特种设备安全监察条例》的规定，气瓶的安装、改造、维修以及竣工后，安装、改造、维修的施工单位应当在验收后（      ）日内将有关技术资料移交使用单位。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A、15</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B、30</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C、60</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D、90</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13、根据《特种设备作业人员监督管理办法》的规定，（      ）应当对作业人员进行安全教育和培训，保证特种设备作业人员具备必要的特种设备安全作业知识、作业技能和及时进行知识更新。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A、考试机构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B、用人单位</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C、培训机构</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D、发证机关</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14、根据《特种设备作业人员监督管理办法》的规定，持有《特种设备作业人员证》的人员，必须经用人单位的法定代表人（负责人）或者其授权人（      ）后，方可在许可的项目范围内作业。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A、邀请</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B、解雇（聘）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C、雇（聘）用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D、同意</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15、根据《特种设备生产和充装单位许可规则》（TSG 07-2019）及第1号修改单的规定，特种设备许可证书有效期为（      ）年。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B、4</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C、5</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D、6</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16、根据《特种设备生产和充装单位许可规则》（TSG 07-2019）及第1号修改单的规定，资源条件中的技术人员应当具有（      ）专业教育背景，取得相关专业技术职称并且具有相关工作经验。</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A、机械</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B、理工类</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C、焊接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D、电气</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17、根据《特种设备生产和充装单位许可规则》（TSG 07-2019）及第1号修改单的规定，生产和充装单位的场地、厂房、办公场所、仓库（      ）承租。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A、允许</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B、不允许</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D、禁止</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18、根据《特种设备生产和充装单位许可规则》（TSG 07-2019）及第1号修改单的规定，住所、制造地址、办公地址、充装地址的名称改变应申请（      ）。</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A、许可变更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B、作废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C、废止</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D、暂停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19、根据《特种设备生产和充装单位许可规则》（TSG 07-2019）及第1号修改单的规定，持证单位在其许可证有效期届满后，需要继续从事相应活动的，应当在其许可证有效期届满的6个月以前（并且不超过（      ）个月），向发证机关提出许可证延续申请。</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A、3</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B、6</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C、9</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D、12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20、根据《特种设备生产和充装单位许可规则》（TSG 07-2019）及第1号修改单的规定，持证单位应当妥善保管许可证，不得（      ）、倒卖、出租、出借许可证。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A、涂改</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21、根据《特种设备生产和充装单位许可规则》（TSG 07-2019）及第1号修改单的规定，持证单位应当妥善保管许可证，不得涂改、（      ）、出租、出借许可证。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A、倒卖</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22、根据《特种设备生产和充装单位许可规则》（TSG 07-2019）及第1号修改单的规定，持证单位应当妥善保管许可证，不得涂改、倒卖、（      ）、出借许可证。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A、出租</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B、变卖</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C、租赁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D、变更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23、根据《特种设备生产和充装单位许可规则》（TSG 07-2019）及第1号修改单的规定，采取自我声明承诺换证的生产单位，如果发现提交虚假材料，（      ）依法撤销其许可证。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A、发证机关</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B、主管部门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C、监察人员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D、上级部门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24、根据《特种设备事故报告和调查处理导则》（TSG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负责人接到事故报告后，应当于（      ）小时内向事故发生地特种设备安全监管部门和有关部门报告。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B、1</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C、2</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D、3</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25、根据《特种设备事故报告和调查处理导则》（TSG 03-2015）的规定，特种设备发生事故后，事故发生单位应当按照规定启动应急预案，采取措施组织抢救，防止事故扩大，减少人员伤亡和财产损失，履行保护事故现场和有关证据的义务；事故发生单位的（      ）接到事故报告后，应当于1小时内向事故发生地特种设备安全监管部门和有关部门报告。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B、特种设备主管</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C、特种设备安全管理员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D、特种设备作业人员</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26、根据《特种设备生产单位落实质量安全主体责任监督管理规定》的规定，质量安全总监和质量安全员应当按照岗位职责，协助单位（      ）做好气瓶质量安全管理工作。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A、老板</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B、主要负责人</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C、总经理</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D、厂长</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27、根据《特种设备生产单位落实质量安全主体责任监督管理规定》的规定，气瓶生产单位主要负责人应当（      ）质量安全总监和质量安全员依法开展气瓶质量安全管理工作。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A、相信</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B、支持</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C、支持和保障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D、保障</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28、根据《特种设备生产单位落实质量安全主体责任监督管理规定》的规定，气瓶生产单位主要负责人在作出涉及气瓶质量安全的（      ）前，应当充分听取质量安全总监和质量安全员的意见和建议。</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A、重大决策</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B、决定</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C、决心</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D、判断</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29、根据《特种设备生产单位落实质量安全主体责任监督管理规定》的规定，质量安全员要每（      ）根据《气瓶质量安全风险管控清单》进行检查，未发现问题，可不记录。</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D、年</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30、根据《特种设备生产单位落实质量安全主体责任监督管理规定》的规定，质量安全总监要每（      ）至少组织一次风险隐患排查，分析研判气瓶质量安全管理情况，研究解决日管控中发现的问题，形成《每周气瓶质量安全排查治理报告》。</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A、日</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B、周</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rPr>
          <w:rFonts w:ascii="宋体" w:hAnsi="宋体" w:eastAsia="宋体" w:cs="宋体"/>
          <w:color w:val="000000"/>
          <w:sz w:val="24"/>
          <w:szCs w:val="22"/>
        </w:rPr>
      </w:pPr>
      <w:r>
        <w:rPr>
          <w:rFonts w:hint="eastAsia" w:ascii="宋体" w:hAnsi="宋体" w:eastAsia="宋体" w:cs="宋体"/>
          <w:color w:val="000000"/>
          <w:kern w:val="0"/>
          <w:sz w:val="24"/>
          <w:szCs w:val="22"/>
          <w:lang w:bidi="ar"/>
        </w:rPr>
        <w:t>C、月</w:t>
      </w:r>
    </w:p>
    <w:p>
      <w:pPr>
        <w:keepNext w:val="0"/>
        <w:keepLines w:val="0"/>
        <w:pageBreakBefore w:val="0"/>
        <w:widowControl w:val="0"/>
        <w:kinsoku/>
        <w:wordWrap/>
        <w:overflowPunct w:val="0"/>
        <w:topLinePunct w:val="0"/>
        <w:autoSpaceDE/>
        <w:autoSpaceDN/>
        <w:bidi w:val="0"/>
        <w:adjustRightInd/>
        <w:snapToGrid/>
        <w:spacing w:line="380" w:lineRule="exact"/>
        <w:jc w:val="both"/>
        <w:textAlignment w:val="center"/>
      </w:pPr>
      <w:r>
        <w:rPr>
          <w:rFonts w:hint="eastAsia" w:ascii="宋体" w:hAnsi="宋体" w:eastAsia="宋体" w:cs="宋体"/>
          <w:color w:val="000000"/>
          <w:kern w:val="0"/>
          <w:sz w:val="24"/>
          <w:szCs w:val="22"/>
          <w:lang w:bidi="ar"/>
        </w:rPr>
        <w:t>D、年</w:t>
      </w:r>
      <w:bookmarkStart w:id="0" w:name="_GoBack"/>
      <w:bookmarkEnd w:id="0"/>
    </w:p>
    <w:sectPr>
      <w:footerReference r:id="rId3" w:type="default"/>
      <w:pgSz w:w="11906" w:h="16838"/>
      <w:pgMar w:top="2098" w:right="1531" w:bottom="1984" w:left="1531"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7A"/>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2000000000000000000"/>
    <w:charset w:val="86"/>
    <w:family w:val="auto"/>
    <w:pitch w:val="default"/>
    <w:sig w:usb0="A00002BF" w:usb1="184F6CFA" w:usb2="00000012"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-167005</wp:posOffset>
              </wp:positionV>
              <wp:extent cx="1000125" cy="403860"/>
              <wp:effectExtent l="0" t="0" r="0" b="0"/>
              <wp:wrapNone/>
              <wp:docPr id="2" name="文本框 2"/>
              <wp:cNvGraphicFramePr/>
              <a:graphic xmlns:a="http://schemas.openxmlformats.org/drawingml/2006/main">
                <a:graphicData uri="http://schemas.microsoft.com/office/word/2010/wordprocessingShape">
                  <wps:wsp>
                    <wps:cNvSpPr txBox="true"/>
                    <wps:spPr>
                      <a:xfrm>
                        <a:off x="0" y="0"/>
                        <a:ext cx="1000125" cy="4038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wps:txbx>
                    <wps:bodyPr rot="0" spcFirstLastPara="0" vertOverflow="overflow" horzOverflow="overflow" vert="horz" wrap="square" lIns="0" tIns="0" rIns="0" bIns="0" numCol="1" spcCol="0" rtlCol="0" fromWordArt="false" anchor="t" anchorCtr="false" forceAA="false" upright="false" compatLnSpc="true">
                      <a:noAutofit/>
                    </wps:bodyPr>
                  </wps:wsp>
                </a:graphicData>
              </a:graphic>
            </wp:anchor>
          </w:drawing>
        </mc:Choice>
        <mc:Fallback>
          <w:pict>
            <v:shape id="_x0000_s1026" o:spid="_x0000_s1026" o:spt="202" type="#_x0000_t202" style="position:absolute;left:0pt;margin-top:-13.15pt;height:31.8pt;width:78.75pt;mso-position-horizontal:inside;mso-position-horizontal-relative:margin;z-index:251659264;mso-width-relative:page;mso-height-relative:page;" filled="f" stroked="f" coordsize="21600,21600" o:gfxdata="UEsFBgAAAAAAAAAAAAAAAAAAAAAAAFBLAwQKAAAAAACHTuJAAAAAAAAAAAAAAAAABAAAAGRycy9Q&#10;SwMEFAAAAAgAh07iQMSllc3XAAAABwEAAA8AAABkcnMvZG93bnJldi54bWxNj8tOwzAURPdI/IN1&#10;kdi1dhq1RSFOFzx2PEppJdg58SWJ8COyb9Ly97grWI5mNHOm3JysYROG2HsnIZsLYOgar3vXSti/&#10;P85ugEVSTivjHUr4wQib6vKiVIX2R/eG045alkpcLJSEjmgoOI9Nh1bFuR/QJe/LB6soydByHdQx&#10;lVvDF0KsuFW9SwudGvCuw+Z7N1oJ5iOGp1rQ53TfPtP2lY+Hh+xFyuurTNwCIzzRXxjO+AkdqsRU&#10;+9HpyIyEdIQkzBarHNjZXq6XwGoJ+ToHXpX8P3/1C1BLAwQUAAAACACHTuJAXeqwZiICAAAqBAAA&#10;DgAAAGRycy9lMm9Eb2MueG1srVNLjhMxEN0jcQfLe9KdDDMaRemMwoyCkCJmpIBYO247bck/yk66&#10;wwHgBqzYsOdcOQdlpztBwAqxscuun9+r59ldZzTZCwjK2YqORyUlwnJXK7ut6Pt3yxe3lITIbM20&#10;s6KiBxHo3fz5s1nrp2LiGqdrAQSL2DBtfUWbGP20KAJvhGFh5Lyw6JQODIt4hG1RA2uxutHFpCxv&#10;itZB7cFxEQLePpycdJ7rSyl4fJQyiEh0RfFtMa+Q101ai/mMTbfAfKN4/wz2D68wTFlsei71wCIj&#10;O1B/lDKKgwtOxhF3pnBSKi4yBkQzLn9Ds26YFxkLkhP8mabw/8ryt/snIKqu6IQSywyO6Pj1y/Hb&#10;j+P3z2SS6Gl9mGLU2mNc7F65rqIRdmJwBbxPwDsJJu0IiWAIcn048yu6SDhejsuyHE+uKeHoe1le&#10;3d7kARSXbA8hvhbOkGRUFHB+mVa2X4WIj8HQISQ1s26ptM4z1Ja0Fb25ui5zwtmDGdpiYoJxemuy&#10;YrfpemwbVx8QGriTNoLnS4XNVyzEJwYoBoSCAo+PuEjtsInrLUoaB5/+dp/icUbopaRFcVU0fNwx&#10;EJToNxanl5Q4GDAYm8GwO3PvUK9j/DqeZxMTIOrBlODMB9T9InWRTAcszCzHfjibwbyPeOqd+H+4&#10;WCzO550HtW0uyahFz+LKrj3vp3tid7GLTqpMfGLtRFVPJgoyz6P/PEnxv55z1OWLz38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FgAAAGRy&#10;cy9QSwECFAAUAAAACACHTuJAxKWVzdcAAAAHAQAADwAAAAAAAAABACAAAAA4AAAAZHJzL2Rvd25y&#10;ZXYueG1sUEsBAhQAFAAAAAgAh07iQF3qsGYiAgAAKgQAAA4AAAAAAAAAAQAgAAAAPAEAAGRycy9l&#10;Mm9Eb2MueG1sUEsFBgAAAAAGAAYAWQEAANAFAAAAAA==&#10;">
              <v:fill on="f" focussize="0,0"/>
              <v:stroke on="f" weight="0.5pt"/>
              <v:imagedata o:title=""/>
              <o:lock v:ext="edit" aspectratio="f"/>
              <v:textbox inset="0mm,0mm,0mm,0mm">
                <w:txbxContent>
                  <w:p>
                    <w:pPr>
                      <w:pStyle w:val="2"/>
                      <w:ind w:firstLine="280" w:firstLineChars="100"/>
                      <w:rPr>
                        <w:rFonts w:hint="default" w:asciiTheme="majorEastAsia" w:hAnsiTheme="majorEastAsia" w:eastAsiaTheme="majorEastAsia" w:cstheme="majorEastAsia"/>
                        <w:sz w:val="28"/>
                        <w:szCs w:val="28"/>
                        <w:lang w:val="en-US" w:eastAsia="zh-CN"/>
                      </w:rPr>
                    </w:pP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rPr>
                      <w:fldChar w:fldCharType="begin"/>
                    </w:r>
                    <w:r>
                      <w:rPr>
                        <w:rFonts w:hint="eastAsia" w:asciiTheme="majorEastAsia" w:hAnsiTheme="majorEastAsia" w:eastAsiaTheme="majorEastAsia" w:cstheme="majorEastAsia"/>
                        <w:sz w:val="28"/>
                        <w:szCs w:val="28"/>
                      </w:rPr>
                      <w:instrText xml:space="preserve"> PAGE  \* MERGEFORMAT </w:instrText>
                    </w:r>
                    <w:r>
                      <w:rPr>
                        <w:rFonts w:hint="eastAsia" w:asciiTheme="majorEastAsia" w:hAnsiTheme="majorEastAsia" w:eastAsiaTheme="majorEastAsia" w:cstheme="majorEastAsia"/>
                        <w:sz w:val="28"/>
                        <w:szCs w:val="28"/>
                      </w:rPr>
                      <w:fldChar w:fldCharType="separate"/>
                    </w:r>
                    <w:r>
                      <w:rPr>
                        <w:rFonts w:hint="eastAsia" w:asciiTheme="majorEastAsia" w:hAnsiTheme="majorEastAsia" w:eastAsiaTheme="majorEastAsia" w:cstheme="majorEastAsia"/>
                        <w:sz w:val="28"/>
                        <w:szCs w:val="28"/>
                      </w:rPr>
                      <w:t>1</w:t>
                    </w:r>
                    <w:r>
                      <w:rPr>
                        <w:rFonts w:hint="eastAsia" w:asciiTheme="majorEastAsia" w:hAnsiTheme="majorEastAsia" w:eastAsiaTheme="majorEastAsia" w:cstheme="majorEastAsia"/>
                        <w:sz w:val="28"/>
                        <w:szCs w:val="28"/>
                      </w:rPr>
                      <w:fldChar w:fldCharType="end"/>
                    </w:r>
                    <w:r>
                      <w:rPr>
                        <w:rFonts w:hint="eastAsia" w:asciiTheme="majorEastAsia" w:hAnsiTheme="majorEastAsia" w:eastAsiaTheme="majorEastAsia" w:cstheme="majorEastAsia"/>
                        <w:sz w:val="28"/>
                        <w:szCs w:val="28"/>
                      </w:rPr>
                      <w:t xml:space="preserve"> —</w:t>
                    </w:r>
                    <w:r>
                      <w:rPr>
                        <w:rFonts w:hint="eastAsia" w:asciiTheme="majorEastAsia" w:hAnsiTheme="majorEastAsia" w:eastAsiaTheme="majorEastAsia" w:cstheme="majorEastAsia"/>
                        <w:sz w:val="28"/>
                        <w:szCs w:val="28"/>
                        <w:lang w:val="en-US" w:eastAsia="zh-CN"/>
                      </w:rPr>
                      <w:t xml:space="preserve">  </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EC50AAB"/>
    <w:multiLevelType w:val="singleLevel"/>
    <w:tmpl w:val="FEC50AAB"/>
    <w:lvl w:ilvl="0" w:tentative="0">
      <w:start w:val="1"/>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cumentProtection w:enforcement="0"/>
  <w:defaultTabStop w:val="420"/>
  <w:drawingGridVerticalSpacing w:val="156"/>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FiZDIzMjBhYjY3YjcwYmIxYWI1NjM4YzVmYjEyMDMifQ=="/>
  </w:docVars>
  <w:rsids>
    <w:rsidRoot w:val="00FC0003"/>
    <w:rsid w:val="00083446"/>
    <w:rsid w:val="006966F3"/>
    <w:rsid w:val="00FC0003"/>
    <w:rsid w:val="08C06FAE"/>
    <w:rsid w:val="093873DB"/>
    <w:rsid w:val="09B557D5"/>
    <w:rsid w:val="0CC43A05"/>
    <w:rsid w:val="0DF264A7"/>
    <w:rsid w:val="152F1206"/>
    <w:rsid w:val="17286F88"/>
    <w:rsid w:val="1D0D72EF"/>
    <w:rsid w:val="254070E7"/>
    <w:rsid w:val="2C4D184B"/>
    <w:rsid w:val="34733CA6"/>
    <w:rsid w:val="369708EE"/>
    <w:rsid w:val="37B47BBE"/>
    <w:rsid w:val="39FA01F5"/>
    <w:rsid w:val="42E92F85"/>
    <w:rsid w:val="432E1FDC"/>
    <w:rsid w:val="481B3E57"/>
    <w:rsid w:val="4A8073FC"/>
    <w:rsid w:val="4C5864D9"/>
    <w:rsid w:val="4F3D1B8A"/>
    <w:rsid w:val="5C8C13E4"/>
    <w:rsid w:val="63D97C0F"/>
    <w:rsid w:val="697459BD"/>
    <w:rsid w:val="6C982E8F"/>
    <w:rsid w:val="701F72BE"/>
    <w:rsid w:val="74BD6FA4"/>
    <w:rsid w:val="77536DAE"/>
    <w:rsid w:val="7BFD0493"/>
    <w:rsid w:val="7F7708B9"/>
    <w:rsid w:val="FFEEF8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1957</Words>
  <Characters>11155</Characters>
  <Lines>92</Lines>
  <Paragraphs>26</Paragraphs>
  <TotalTime>3</TotalTime>
  <ScaleCrop>false</ScaleCrop>
  <LinksUpToDate>false</LinksUpToDate>
  <CharactersWithSpaces>13086</CharactersWithSpaces>
  <Application>WPS Office_11.8.2.10229_F1E327BC-269C-435d-A152-05C5408002CA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2024-01-26T01:32:00Z</dcterms:created>
  <dc:creator>R1218</dc:creator>
  <cp:lastModifiedBy>pingtan</cp:lastModifiedBy>
  <dcterms:modified xsi:type="dcterms:W3CDTF">2024-08-20T15:59:05Z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y fmtid="{D5CDD505-2E9C-101B-9397-08002B2CF9AE}" pid="3" name="ICV">
    <vt:lpwstr>1DAE1106226D457FA2CAE6FF1FA2AF72_12</vt:lpwstr>
  </property>
</Properties>
</file>