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压力管道使用单位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黑体" w:hAnsi="黑体" w:eastAsia="黑体" w:cs="黑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压力管道安全总监</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黑体" w:hAnsi="黑体" w:eastAsia="黑体" w:cs="黑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1、根据《压力管道安全技术监察规程—工业管道》（TSG D0001-2009）的规定，工业管道所用的安全阀应当符合《压力管道安全技术监察规程—工业管道》（TSG D0001-2009）的规定。（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2、根据《压力管道监督检验规则》（TSG D7006-2020）的规定，压力管道监检中发现</w:t>
      </w:r>
      <w:r>
        <w:rPr>
          <w:rFonts w:hint="eastAsia" w:ascii="宋体" w:hAnsi="宋体" w:eastAsia="宋体" w:cs="宋体"/>
          <w:color w:val="000000"/>
          <w:kern w:val="0"/>
          <w:sz w:val="24"/>
          <w:szCs w:val="22"/>
          <w:lang w:val="en-US" w:eastAsia="zh-CN" w:bidi="ar"/>
        </w:rPr>
        <w:t>施工单位</w:t>
      </w:r>
      <w:r>
        <w:rPr>
          <w:rFonts w:hint="eastAsia" w:ascii="宋体" w:hAnsi="宋体" w:eastAsia="宋体" w:cs="宋体"/>
          <w:color w:val="000000"/>
          <w:kern w:val="0"/>
          <w:sz w:val="24"/>
          <w:szCs w:val="22"/>
          <w:lang w:bidi="ar"/>
        </w:rPr>
        <w:t>有许可资质要求</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但</w:t>
      </w:r>
      <w:r>
        <w:rPr>
          <w:rFonts w:hint="eastAsia" w:ascii="宋体" w:hAnsi="宋体" w:eastAsia="宋体" w:cs="宋体"/>
          <w:color w:val="000000"/>
          <w:kern w:val="0"/>
          <w:sz w:val="24"/>
          <w:szCs w:val="22"/>
          <w:lang w:bidi="ar"/>
        </w:rPr>
        <w:t>已不再具备相应的许可条件，属于一般问题。（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3、根据《压力管道监督检验规则》（TSG D7006-2020）的规定，压力管道监检中发现严重违反特种设备许可制度(如发生涂改、伪造、转让或者出卖特种设备许可证，向无特种设备许可证的单位出卖或者非法提供质量证明文件)，属于严重问题。（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4、根据《压力管道监督检验规则》（TSG D7006-2020）的规定，压力管道施工监督检验结论不符合要求，监检人员也可先出具《特种设备监督检验意见通知书(1)》。（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5、根据《特种设备安全监督检查办法》的规定，特种设备未经监督检验或者经检验、检测不合格，继续使用的，属于严重事故隐患。（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6、根据《特种设备安全监督检查办法》的规定，特种设备发生过事故或者有明显故障，未对其进行全面检查、消除事故隐患，继续使用的，不属于严重事故隐患。（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事故报告和调查处理规定》的规定，特种设备事故，是指列入特种设备目录的特种设备因其本体原因及其安全装置或者附件损坏、失效，或者特种设备相关人员违反特种设备法律法规规章、安全技术规范造成的事故。（      ）A</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事故报告和调查处理规定》的规定，特种设备发生事故后，事故现场有关人员应当立即向事故发生单位负责人报告；事故发生单位的负责人接到报告后，应当于1小时内向事故发生地的县级以上市场监督管理部门和有关部门报告。（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9、根据《中华人民共和国特种设备安全法》的规定，特种设备存在严重事故隐患，无改造、修理价值，或者达到安全技术规范规定的其他报废条件的，特种设备使用单位应当依法履行报废义务。（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10、根据《特种设备安全监察条例》的规定，特种设备使用单位应当建立特种设备安全技术档案。（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的规定，使用单位如有正当理由，可拒绝接受特种设备安全监管部门依法实施的监督检查。（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的规定，使用特种设备(不含气瓶)总量50台以上(含50台)的的使用单位应设置特种设备安全管理机构。（      ）A</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13、根据《特种设备作业人员监督管理办法》的规定，作业人员未能参加用人单位培训的，可以选择专业培训机构进行培训。（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14、根据《特种设备作业人员监督管理办法》的规定，申请人隐瞒有关情况或者提供虚假材料申请特种设备作业人员证的，不予受理或者不予批准发证，并在1年内不得再次申请特种设备作业人员证。（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15、根据《特种设备使用单位落实使用安全主体责任监督管理规定》的规定，压力管道使用单位主要负责人对本单位压力管道使用安全全面负责。（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使用单位落实使用安全主体责任监督管理规定》的规定，压力管道安全总监要每周至少组织一次风险隐患排查，分析研判压力管道使用安全管理情况，研究解决日管控中发现的问题，形成每周压力管道安全排查治理报告。（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17、根据《特种设备使用单位落实使用安全主体责任监督管理规定》的规定，压力管道使用单位应当将主要负责人、压力管道安全总监和压力管道安全员的设立、调整情况，</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压力管道安全风险管控清单</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压力管道安全总监职责</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压力管道安全员守则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以及压力管道安全总监、压力管道安全员提出的意见建议、报告和问题整改落实等履职情况予以记录并存档备查。（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18、根据《特种设备使用单位落实使用安全主体责任监督管理规定》的规定，监督抽查考核不合格，不再符合压力管道使用要求的，使用单位应当立即采取整改措施。（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19、根据《压力管道定期检验规则——长输管道》（TSG D7003-2022）的规定，长输管道定期检验，是指特种设备检验机构按照一定的时间周期，根据本规则及有关安全技术规范、相关标准的规定，对在用管道安全状况进行的符合性验证活动。（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20、根据《压力管道定期检验规则——长输管道》（TSG D7003-2022）的规定，使用单位和检验机构应当签订定期检验协议，明确双方的责任和义务。（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1、根据《压力管道安全技术监察规程—工业管道》（TSG D0001-2009）的规定，工业管道的安全泄放装置用于防止管道系统发生（      ）事故。</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A、爆炸</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B、超压</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C、泄漏</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D、火灾</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2、根据《压力管道安全技术监察规程—工业管道》（TSG D0001-2009）的规定，工业管道紧急切断阀的铭牌应至少包括（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A、型号</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B、材质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C、阻火性能</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D、爆破压力</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3、根据《压力管道监督检验规则》（TSG D7006-2020）的规定，压力管道监检中发现一般问题，应当及时向受检单位发出（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A、《特种设备监督检验意见通知书(1)》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B、《特种设备监督检验意见通知书(2)》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C、《特种设备监督检验联络单》</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D、ABC都不是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4、根据《压力管道监督检验规则》（TSG D7006-2020）的规定，监检人员在压力管道监检过程中发现严重问题时，还应当同时报告接受告知的特种设备安全监管部门，并且书面告知（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A、使用单位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B、安装单位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C、建设单位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D、制造单位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5、根据《压力管道监督检验规则》（TSG D7006-2020）的规定，压力管道监检项目不合格并且不能纠正，属于（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A、严重问题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C、普通问题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6、根据《压力管道监督检验规则》（TSG D7006-2020）的规定，压力管道监检中，对《监检联络单》提出的问题拒不整改，属于（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A、严重问题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C、普通问题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D、ABC都是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7、根据《压力管道监督检验规则》（TSG D7006-2020）的规定，压力管道受检单位接到监检意见书(2)或者监检联络单，应当采取有效的整改措施，并且在（      ）对监检意见书(2)或者监检联络单所列出的问题予以整改。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A、10个工作日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B、20个工作日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C、30个工作日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D、规定时限内</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8、根据《压力管道监督检验规则》（TSG D7006-2020）的规定，压力管道监检过程中，受检单位与监检机构之间发生争议时，可以向压力管道元件制造地、压力管道施工所在地设区的（      ）特种设备安全监管部门申请处理，必要时，还可以向上一级特种设备安全监管部门提出申诉。</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A、省级</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B、市级</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C、区级</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D、县级</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9、根据《特种设备安全监督检查办法》的规定，特种设备未取得许可生产、国家明令淘汰、已经报废或者达到报废条件，继续使用的，属于（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10、根据《特种设备安全监督检查办法》的规定，特种设备发生过事故或者有明显故障，未对其进行全面检查、消除事故隐患，继续使用的，属于（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11、根据《特种设备安全监督检查办法》的规定，特种设备未经监督检验或者经检验、检测不合格，继续使用的，属于（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12、根据《特种设备安全监督检查办法》的规定，特种设备安全附件、安全保护装置缺失或者失灵，继续使用的，属于（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A、一般问题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B、严重事故隐患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D、刑事犯罪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15、根据《中华人民共和国特种设备安全法》的规定，特种设备进行改造、修理，按照规定需要变更使用登记的，应当办理（      ），方可继续使用。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A、变更登记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C、停用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D、重新登记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16、根据《特种设备安全监察条例》的规定，特种设备使用单位应当使用符合（      ）要求的特种设备。</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A、安全技术规范</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C、检查人员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17、根据《特种设备安全监察条例》的规定，特种设备不符合能效指标的，特种设备使用单位应当采取相应措施进行（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A、修理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C、整改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D、报废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的规定，主要负责人是指特种设备使用单位的实际最高管理者，对其单位所使用的特种设备（      ）负总责。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A、</w:t>
      </w:r>
      <w:r>
        <w:rPr>
          <w:rFonts w:hint="eastAsia" w:ascii="宋体" w:hAnsi="宋体" w:eastAsia="宋体" w:cs="宋体"/>
          <w:color w:val="000000"/>
          <w:kern w:val="0"/>
          <w:sz w:val="24"/>
          <w:szCs w:val="22"/>
          <w:lang w:val="en-US" w:eastAsia="zh-CN" w:bidi="ar"/>
        </w:rPr>
        <w:t>性能</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B、</w:t>
      </w:r>
      <w:r>
        <w:rPr>
          <w:rFonts w:hint="eastAsia" w:ascii="宋体" w:hAnsi="宋体" w:eastAsia="宋体" w:cs="宋体"/>
          <w:color w:val="000000"/>
          <w:kern w:val="0"/>
          <w:sz w:val="24"/>
          <w:szCs w:val="22"/>
          <w:lang w:val="en-US" w:eastAsia="zh-CN" w:bidi="ar"/>
        </w:rPr>
        <w:t>价格</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安全节能</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采购</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的规定，按照特种设备使用管理规则要求设置安全管理机构的使用单位安全管理负责人，（      ）取得相应的特种设备安全管理人员资格证书。</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B、应当</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C、视情况</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D、根据需要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20、根据《特种设备使用管理规则》</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TSG 08-2017</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的规定，高耗能特种设备使用单位应当配备（      ）管理人员，负责宣传贯彻特种设备节能的法律法规。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B、技术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C、经费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D、节能</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D、控制</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23、根据《特种设备作业人员监督管理办法》的规定，持有</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特种设备作业人员证</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使用单位落实使用安全主体责任监督管理规定》的规定，压力管道使用单位应当根据本单位压力管道的数量、用途、使用环境等情况，配备压力管道安全总监和足够数量的压力管道安全员，并（      ）明确负责的压力管道安全员。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A、视情况</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B、自行</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C、逐</w:t>
      </w:r>
      <w:r>
        <w:rPr>
          <w:rFonts w:hint="eastAsia" w:ascii="宋体" w:hAnsi="宋体" w:eastAsia="宋体" w:cs="宋体"/>
          <w:color w:val="000000"/>
          <w:kern w:val="0"/>
          <w:sz w:val="24"/>
          <w:szCs w:val="22"/>
          <w:lang w:val="en-US" w:eastAsia="zh-CN" w:bidi="ar"/>
        </w:rPr>
        <w:t>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D、立即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25、根据《特种设备使用单位落实使用安全主体责任监督管理规定》的规定，压力管道使用单位应当建立基于压力管道（      ）防控的动态管理机制，结合本单位实际，落实自查要求，制定压力管道安全风险管控清单，建立健全日管控、周排查、月调度工作制度和机制。</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B、风险隐患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C、安全风险</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D、安全管理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26、根据《特种设备使用单位落实使用安全主体责任监督管理规定》的规定，压力管道安全总监要每（      ）至少组织一次风险隐患排查，分析研判压力管道使用安全管理情况，研究解决日管控中发现的问题，形成每周压力管道安全排查治理报告。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27、根据《特种设备使用单位落实使用安全主体责任监督管理规定》的规定，压力管道使用单位主要负责人要每（      ）至少听取一次压力管道安全总监管理工作情况汇报，对当月压力管道安全日常管理、风险隐患排查治理等情况进行总结，对下个月重点工作作出调度安排，形成每月压力管道安全调度会议纪要。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使用单位落实使用安全主体责任监督管理规定》的规定，压力管道使用单位及其主要负责人无正当理由未采纳压力管道安全总监和压力管道安全员依照《特种设备使用单位落实使用安全主体责任监督管理规定》第五十三条提出的意见或者建议的，应当认为压力管道安全总监和压力管道安全员已经（      ），不予处罚。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A、开展工作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B、努力工作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C、依法履职尽责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D、尽心尽力</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29、根据《特种设备使用单位落实使用安全主体责任监督管理规定》的规定，压力管道使用单位主要负责人、压力管道安全总监、压力管道安全员未按规定要求落实（      ）安全责任的，由县级以上地方市场监督管理部门责令改正并给予通报批评；拒不改正的，对责任人处二千元以上一万元以下罚款。法律、行政法规另有规定的，依照其规定执行。</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A、管理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D、调试</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30、根据《压力管道定期检验规则——长输管道》（TSG D7003-2022）的规定，因特殊情况无法按期进行定期检验的管道，由使用单位提出书面申请，经过使用单位（      ）批准，并书面告知管道所在地的地市级市场监督管理部门，可以延长检验期。</w:t>
      </w:r>
      <w:bookmarkStart w:id="0" w:name="_GoBack"/>
      <w:bookmarkEnd w:id="0"/>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A、安全管理负责人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B、法人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C、安全管理员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D、部门经理</w:t>
      </w:r>
    </w:p>
    <w:p>
      <w:pPr>
        <w:keepNext w:val="0"/>
        <w:keepLines w:val="0"/>
        <w:pageBreakBefore w:val="0"/>
        <w:widowControl w:val="0"/>
        <w:kinsoku/>
        <w:wordWrap/>
        <w:overflowPunct w:val="0"/>
        <w:topLinePunct w:val="0"/>
        <w:autoSpaceDE/>
        <w:autoSpaceDN/>
        <w:bidi w:val="0"/>
        <w:adjustRightInd/>
        <w:snapToGrid/>
        <w:spacing w:line="380" w:lineRule="exact"/>
        <w:jc w:val="both"/>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-167005</wp:posOffset>
              </wp:positionV>
              <wp:extent cx="1011555" cy="40386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11555"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15pt;height:31.8pt;width:79.65pt;mso-position-horizontal:inside;mso-position-horizontal-relative:margin;z-index:251659264;mso-width-relative:page;mso-height-relative:page;" filled="f" stroked="f" coordsize="21600,21600" o:gfxdata="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ClHt951gAAAAcBAAAPAAAAAAAAAAEAIAAAADgAAABkcnMvZG93bnJl&#10;di54bWxQSwECFAAUAAAACACHTuJASfGqISICAAAqBAAADgAAAAAAAAABACAAAAA7AQAAZHJzL2Uy&#10;b0RvYy54bWxQSwUGAAAAAAYABgBZAQAAzwUAAAAA&#10;">
              <v:fill on="f" focussize="0,0"/>
              <v:stroke on="f" weight="0.5pt"/>
              <v:imagedata o:title=""/>
              <o:lock v:ext="edit" aspectratio="f"/>
              <v:textbox inset="0mm,0mm,0mm,0mm">
                <w:txbxContent>
                  <w:p>
                    <w:pPr>
                      <w:pStyle w:val="3"/>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mZjY2NTNmNGFlYTFmZjU5NTg0ZTRlZGRiYjQ4YTcifQ=="/>
    <w:docVar w:name="KSO_WPS_MARK_KEY" w:val="37bf8dca-d221-4ec8-9b3d-77ddcb72da70"/>
  </w:docVars>
  <w:rsids>
    <w:rsidRoot w:val="00C633A5"/>
    <w:rsid w:val="00083446"/>
    <w:rsid w:val="00620ED0"/>
    <w:rsid w:val="00A6093A"/>
    <w:rsid w:val="00B07311"/>
    <w:rsid w:val="00C633A5"/>
    <w:rsid w:val="0A0B51CB"/>
    <w:rsid w:val="127959CD"/>
    <w:rsid w:val="150A2B53"/>
    <w:rsid w:val="18F919C4"/>
    <w:rsid w:val="19137AFC"/>
    <w:rsid w:val="1C776E36"/>
    <w:rsid w:val="1D5251D9"/>
    <w:rsid w:val="20283C0A"/>
    <w:rsid w:val="258818DB"/>
    <w:rsid w:val="2D425BF7"/>
    <w:rsid w:val="323C53BB"/>
    <w:rsid w:val="38D8249D"/>
    <w:rsid w:val="39FA01F5"/>
    <w:rsid w:val="3C410359"/>
    <w:rsid w:val="3D5B18EE"/>
    <w:rsid w:val="43326C4D"/>
    <w:rsid w:val="48AA1252"/>
    <w:rsid w:val="4C5864D9"/>
    <w:rsid w:val="5ED6668E"/>
    <w:rsid w:val="64F07291"/>
    <w:rsid w:val="6575538E"/>
    <w:rsid w:val="6A2D27A0"/>
    <w:rsid w:val="72D36533"/>
    <w:rsid w:val="781C199D"/>
    <w:rsid w:val="786E38ED"/>
    <w:rsid w:val="79F5A392"/>
    <w:rsid w:val="7F6F9854"/>
    <w:rsid w:val="7F767DD8"/>
    <w:rsid w:val="FF2DA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12744</Words>
  <Characters>13258</Characters>
  <Lines>99</Lines>
  <Paragraphs>28</Paragraphs>
  <TotalTime>24</TotalTime>
  <ScaleCrop>false</ScaleCrop>
  <LinksUpToDate>false</LinksUpToDate>
  <CharactersWithSpaces>13688</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2024-08-09T10:05:35Z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9577FB29403C42ABA8E8A4310ABB1140</vt:lpwstr>
  </property>
</Properties>
</file>