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场车使用单位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安全员题库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Pr>
        <w:jc w:val="center"/>
        <w:rPr>
          <w:rFonts w:ascii="黑体" w:hAnsi="黑体" w:eastAsia="黑体" w:cs="黑体"/>
          <w:sz w:val="32"/>
          <w:szCs w:val="32"/>
        </w:rPr>
      </w:pPr>
    </w:p>
    <w:p>
      <w:pPr>
        <w:jc w:val="center"/>
        <w:rPr>
          <w:rFonts w:ascii="黑体" w:hAnsi="黑体" w:eastAsia="黑体" w:cs="黑体"/>
          <w:sz w:val="32"/>
          <w:szCs w:val="32"/>
        </w:rPr>
      </w:pPr>
    </w:p>
    <w:p>
      <w:pPr>
        <w:jc w:val="center"/>
        <w:rPr>
          <w:rFonts w:ascii="黑体" w:hAnsi="黑体" w:eastAsia="黑体" w:cs="黑体"/>
          <w:sz w:val="32"/>
          <w:szCs w:val="32"/>
        </w:rPr>
      </w:pPr>
    </w:p>
    <w:p>
      <w:pPr>
        <w:jc w:val="center"/>
        <w:rPr>
          <w:rFonts w:ascii="黑体" w:hAnsi="黑体" w:eastAsia="黑体" w:cs="黑体"/>
          <w:sz w:val="32"/>
          <w:szCs w:val="32"/>
        </w:rPr>
      </w:pPr>
    </w:p>
    <w:p>
      <w:pPr>
        <w:jc w:val="center"/>
        <w:rPr>
          <w:rFonts w:ascii="黑体" w:hAnsi="黑体" w:eastAsia="黑体" w:cs="黑体"/>
          <w:sz w:val="32"/>
          <w:szCs w:val="32"/>
        </w:rPr>
      </w:pPr>
    </w:p>
    <w:p>
      <w:pPr>
        <w:jc w:val="center"/>
        <w:rPr>
          <w:rFonts w:ascii="黑体" w:hAnsi="黑体" w:eastAsia="黑体" w:cs="黑体"/>
          <w:sz w:val="32"/>
          <w:szCs w:val="32"/>
        </w:rPr>
      </w:pPr>
    </w:p>
    <w:p>
      <w:pPr>
        <w:jc w:val="center"/>
        <w:rPr>
          <w:rFonts w:ascii="黑体" w:hAnsi="黑体" w:eastAsia="黑体" w:cs="黑体"/>
          <w:sz w:val="32"/>
          <w:szCs w:val="32"/>
        </w:rPr>
      </w:pPr>
      <w:r>
        <w:rPr>
          <w:rFonts w:hint="eastAsia" w:ascii="黑体" w:hAnsi="黑体" w:eastAsia="黑体" w:cs="黑体"/>
          <w:sz w:val="32"/>
          <w:szCs w:val="32"/>
        </w:rPr>
        <w:t>场车安全员</w:t>
      </w:r>
    </w:p>
    <w:p>
      <w:pPr>
        <w:numPr>
          <w:ilvl w:val="0"/>
          <w:numId w:val="1"/>
        </w:numPr>
        <w:rPr>
          <w:rFonts w:ascii="宋体" w:hAnsi="宋体" w:eastAsia="宋体" w:cs="宋体"/>
          <w:sz w:val="44"/>
          <w:szCs w:val="44"/>
        </w:rPr>
      </w:pPr>
      <w:r>
        <w:rPr>
          <w:rFonts w:hint="eastAsia" w:ascii="宋体" w:hAnsi="宋体" w:eastAsia="宋体" w:cs="宋体"/>
          <w:sz w:val="44"/>
          <w:szCs w:val="44"/>
        </w:rPr>
        <w:t>判断题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1、根据《场(厂)内专用机动车辆安全技术规程》（TSG 81—2022）的规定，铭牌、载荷曲线、安全标志应当置于叉车的不易接触的位置，防止腐蚀。（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2、根据《场(厂)内专用机动车辆安全技术规程》（TSG 81—2022）的规定，采用气压制动系统的观光车辆应当装有气压表或者报警装置，当制动系统的气压低于起步气压时，车辆应当无法运行或者发出报警信号。（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3、根据《场(厂)内专用机动车辆安全技术规程》（TSG 81—2022）的规定，观光列车牵引连接装置应当有止退装置，在无人力操作时牵引销也能退出。（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4、根据《场(厂)内专用机动车辆安全技术规程》（TSG 81—2022）的规定，采用自动变速箱的内燃观光车辆，只有当变速箱换挡装置处于停车挡(“P” 挡)或空挡(“N”挡)时方可启动发动机(具有自动启停功能的车辆除外)。（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5、根据《场(厂)内专用机动车辆安全技术规程》（TSG 81—2022）的规定，动力源为蓄电池的车辆充电时，应当保证电源与主电路分离，车辆不能通过自身的驱动系统行驶；插接器应当有定向防护，防止插接器接反。（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6、根据《场(厂)内专用机动车辆安全技术规程》（TSG 81—2022）的规定，观光车辆上每位乘客应当有安全拉手，靠近车体边缘的乘客应当有安全实用的扶手，扶手距离座椅上表面高度不低于180mm。（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7、根据《场(厂)内专用机动车辆安全技术规程》（TSG 81—2022）的规定，场(厂)内专用机动车辆，是指除道路交通、农用车辆以外仅在工厂厂区、旅游景区、游乐场所等特定区域使用的专用机动车辆，包括机动工业车辆和非公路用旅游观光车辆。（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8、根据《场(厂)内专用机动车辆安全技术规程》（TSG 81—2022）的规定，工厂厂区，指有明确管理边界，从事加工、组装等的制造厂厂区，港口(码头)，铁路货场和物流园区。（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9、根据《场(厂)内专用机动车辆安全技术规程》（TSG 81—2022）的规定，参照相关标准，安装在货叉架或者货叉上的可拆卸式属具，不视为叉车的一部分。（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10、根据《场(厂)内专用机动车辆安全技术规程》（TSG 81—2022）的规定，场车安全管理人员和相关人员应当到场配合、协助检验工作，负责现场安全监护。（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11、根据《场(厂)内专用机动车辆安全技术规程》（TSG 81—2022）的规定，使用单位无需营业执照。（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12、根据《场(厂)内专用机动车辆安全技术规程》（TSG 81—2022）的规定，改造，是指改变原叉车的动力方式、传动方式、车架结构、驾驶方式，观光车辆的动力方式、传动方式，或者改变场车原主参数或者载荷曲线的活动。（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13、根据《场(厂)内专用机动车辆安全技术规程》（TSG 81—2022）的规定，修理，是指更换原叉车的动力装置、转向装置、传动装置、落物保护构件、门架构件，观光车辆的动力装置、车身构件、传动装置，但是不改变场车原主参数或者载荷曲线的活动。（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14、根据《场(厂)内专用机动车辆安全技术规程》（TSG 81—2022）的规定，在随机文件中应当有标示叉车额定起重量和实际起重量的载荷曲线图或者载荷表，并且在叉车的明显位置固定清晰且永久的载荷曲线图或者载荷表。（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15、根据《场(厂)内专用机动车辆安全技术规程》（TSG 81—2022）的规定，叉车应当在醒目的位置以图形或者文字形式设置具有下列含义的安全标志：禁止站在货叉上、禁止站在货叉下、手指或者手被挤压风险提示，配备安全带的叉车还应当包括扣紧安全带。（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16、根据《场(厂)内专用机动车辆安全技术规程》（TSG 81—2022）的规定，观光车辆应当在醒目的位置以图形或者文字形式设置具有下列含义的安全标志：系好安全带、灭火器、车未停稳前请勿下车。（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17、根据《场(厂)内专用机动车辆安全技术规程》（TSG 81—2022）的规定，从事场车改造的单位，在进行改造施工前，应当按照规定向设备所在地的特种设备安全监督管理部门告知，告知后方可改造。（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18、根据《场(厂)内专用机动车辆安全技术规程》（TSG 81—2022）的规定，改造涉及场车主参数的，在铭牌中增加改造的主参数信息。（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19、根据《中华人民共和国特种设备安全法》的规定，特种设备使用时，如果有足够的防护条件可不具有规定的安全距离、安全防护措施。（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20、根据《特种设备安全监察条例》的规定，特种设备作业人员在作业过程中发现事故隐患或者其他不安全因素，如果能够自行处理，可不向现场安全管理人员和单位有关负责人报告。（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21、根据《特种设备使用管理规则》的规定，使用单位应当对出现故障或者发生异常情况的特种设备及时进行全面检查，查明故障和异常情况原因，并且及时采取有效措施，必要时停止运行，安排检验、检测，不得带病运行、冒险作业，待故障、异常情况消除后，方可继续使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22、根据《特种设备作业人员监督管理办法》的规定，用人单位可不建立特种设备作业人员管理档案。（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23、根据《特种设备作业人员监督管理办法》的规定，特种设备作业人员证每5年复审一次。（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24、根据《特种设备使用单位落实使用安全主体责任监督管理规定》的规定，场车安全员要每日根据场车安全风险管控清单，按照相关安全技术规范和本单位安全管理制度的要求，对投入使用的场车进行巡检，形成每日场车安全检查记录。（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25、根据《特种设备使用单位落实使用安全主体责任监督管理规定》的规定，场车安全员要每日根据场车安全风险管控清单，按照相关安全技术规范和本单位安全管理制度的要求，对投入使用的场车进行巡检，未发现问题的，可不记录。（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26、根据《特种设备安全监督检查办法》的规定，特种设备未取得许可生产、国家明令淘汰、已经报废或者达到报废条件，继续使用的，属于严重事故隐患。（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27、根据《特种设备安全监督检查办法》的规定，特种设备发生过事故或者有明显故障，未对其进行全面检查、消除事故隐患，继续使用的，属于严重事故隐患。（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28、根据《特种设备事故报告和调查处理规定》的规定，特种设备事故分为特别重大事故、重大事故、较大事故和一般事故。（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29、根据《特种设备事故报告和调查处理规定》的规定，特种设备事故分为非常严重事故、严重事故、非严重事故和一般事故。（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30、根据《特种设备使用单位落实使用安全主体责任监督管理规定》的规定，监督抽查考核不合格，不再符合场车使用要求的，使用单位应当立即采取整改措施。（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numPr>
          <w:ilvl w:val="0"/>
          <w:numId w:val="1"/>
        </w:numPr>
        <w:rPr>
          <w:rFonts w:ascii="黑体" w:hAnsi="黑体" w:eastAsia="黑体" w:cs="黑体"/>
          <w:sz w:val="32"/>
          <w:szCs w:val="32"/>
        </w:rPr>
      </w:pPr>
      <w:r>
        <w:rPr>
          <w:rFonts w:hint="eastAsia" w:ascii="黑体" w:hAnsi="黑体" w:eastAsia="黑体" w:cs="黑体"/>
          <w:sz w:val="32"/>
          <w:szCs w:val="32"/>
        </w:rPr>
        <w:t>选择题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1、根据《场(厂)内专用机动车辆安全技术规程》（TSG 81—2022）的规定，动力源为蓄电池的叉车，蓄电池金属盖或者非金属盖的金属部件与蓄电池带电部分之间应当有30mm以上的间隙；若盖板和带电部分（      ），则其间隙至少有10mm。</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A、被有效绝缘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B、受潮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C、外露</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D、接地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2、根据《场(厂)内专用机动车辆安全技术规程》（TSG 81—2022）的规定，（      ）传动叉车，只有处于制动状态时才能启动发动机。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A、机械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B、液力</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C、静压</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D、电</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3、根据《场(厂)内专用机动车辆安全技术规程》（TSG 81—2022）的规定，叉车（      ）的轮胎规格和花纹应当相同。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A、同一轴上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B、同一侧上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C、不同轴上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D、全部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4、根据《场(厂)内专用机动车辆安全技术规程》（TSG 81—2022）的规定，叉车上（      ）胎面和胎壁应当无长度超过25mm或者深度足以暴露出轮胎帘布层的破裂和割伤。</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A、实心轮胎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B、工业脚轮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C、工业车轮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D、充气轮胎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5、根据《场(厂)内专用机动车辆安全技术规程》（TSG 81—2022）的规定，向前运行时，顺时针转动方向盘或者对转向控制装置的等同操作，应当使叉车（      ），并且乘驾式叉车的控制装置应当被限制在叉车轮廓内。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A、不动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B、左转</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C、右转</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D、制动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6、根据《场(厂)内专用机动车辆安全技术规程》（TSG 81—2022）的规定，（      ）操纵的驻车制动控制装置应当有防止意外释放的功能。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B、电子</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C、遥控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D、手柄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7、根据《场(厂)内专用机动车辆安全技术规程》（TSG 81—2022）的规定，电动叉车应当设置非自动复位且能切断（      ）部件电源的紧急断电开关。</w:t>
      </w:r>
    </w:p>
    <w:p>
      <w:pPr>
        <w:rPr>
          <w:rFonts w:ascii="宋体" w:hAnsi="宋体" w:eastAsia="宋体" w:cs="宋体"/>
          <w:color w:val="000000"/>
          <w:sz w:val="24"/>
          <w:szCs w:val="22"/>
        </w:rPr>
      </w:pP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A、所有驱动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B、所有转向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C、所有制动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D、所有</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8、根据《场(厂)内专用机动车辆安全技术规程》（TSG 81—2022）的规定，叉车控制装置应当操作灵活，被释放时，应当自动回到（      ），并且停止相应的载荷移动。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A、上位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B、下位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C、中位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D、左位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9、根据《场(厂)内专用机动车辆安全技术规程》（TSG 81—2022）的规定，侧面式叉车货叉侧和额定起重量大于10000kg的坐驾式平衡重式叉车（      ）还应当设置视频监视装置。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A、前方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B、后方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C、前方和后方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D、前方或后方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10、根据《场(厂)内专用机动车辆安全技术规程》（TSG 81—2022）的规定，叉车挡货架上开口的两个尺寸中应当（      ）不大于150mm。</w:t>
      </w:r>
    </w:p>
    <w:p>
      <w:pPr>
        <w:rPr>
          <w:rFonts w:ascii="宋体" w:hAnsi="宋体" w:eastAsia="宋体" w:cs="宋体"/>
          <w:color w:val="000000"/>
          <w:sz w:val="24"/>
          <w:szCs w:val="22"/>
        </w:rPr>
      </w:pP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A、有一个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B、同时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C、没有</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D、只有一个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11、根据《场(厂)内专用机动车辆安全技术规程》（TSG 81—2022）的规定，叉车应当有避免正常操作的司机与车轮接触以及被车轮甩出物体伤害的保护装置；对于（      ），只需对其直线行驶状态进行防护。</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A、前轮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B、后轮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C、驱动轮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D、转向轮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12、根据《场(厂)内专用机动车辆安全技术规程》（TSG 81—2022）的规定，观光车辆方向盘不得（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A、左置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B、右置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C、中置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D、前置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13、根据《场(厂)内专用机动车辆安全技术规程》（TSG 81—2022）的规定，观光车辆行车制动系统应当采用（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A、单管路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B、双管路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C、多管路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D、双管路或者多管路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14、根据《场(厂)内专用机动车辆安全技术规程》（TSG 81—2022）的规定，观光车辆上每位乘客应当有安全拉手，靠近车体边缘的乘客应当有安全实用的扶手，扶手距离座椅上表面（      ）不低于180mm。</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A、长度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B、宽度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C、高度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D、深度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15、根据《场(厂)内专用机动车辆安全技术规程》（TSG 81—2022）的规定，观光列车的（      ）车厢内，应当设置安全员专用座椅，并且设置安全员与司机双向沟通的装置。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A、第一节</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B、第二节</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C、每一节</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D、最后一节</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16、根据《场(厂)内专用机动车辆安全技术规程》（TSG 81—2022）的规定，场(厂)内专用机动车辆，是指除道路交通、农用车辆以外仅在工厂厂区、旅游景区、游乐场所等特定区域使用的专用机动车辆，包括（      ）和非公路用旅游观光车辆。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A、搬运车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B、牵引车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C、推顶车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D、工业车辆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17、根据《场(厂)内专用机动车辆安全技术规程》（TSG 81—2022）的规定，以下区域不属于工厂厂区的是（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A、制造厂厂区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B、建筑工地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C、铁路货场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D、物流园区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18、根据《场(厂)内专用机动车辆安全技术规程》（TSG 81—2022）的规定，以下区域不属于旅游景区的是（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A、风景游览区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B、公园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C、工厂厂区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D、动物园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19、根据《场(厂)内专用机动车辆安全技术规程》（TSG 81—2022）的规定，旅游景区，指有明确（      ），纳入风景游览区、公园、动物园、植物园范畴管理的区域。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A、管理主体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B、经营主体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C、管理边界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D、经营范围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20、根据《场(厂)内专用机动车辆安全技术规程》（TSG 81—2022）的规定，叉车，指可由司机直接操纵(含遥控)，通过门架和（      ）将载荷起升到一定高度进行作业的自行式车辆，包括平衡重式叉车、前移式叉车、侧面式叉车、插腿式叉车、托盘堆垛车和三向堆垛式叉车。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A、货叉</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B、属具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C、吊钩</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D、托盘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21、根据《场(厂)内专用机动车辆安全技术规程》（TSG 81—2022）的规定，非公路用旅游观光车辆，指具有4个以上车轮、非轨道无架线、座位数(含司机座位)不小于（      ）且用于旅游观光运营服务的自行式乘用车辆，包括观光车和观光列车。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A、12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C、8</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D、10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22、根据《场(厂)内专用机动车辆安全技术规程》（TSG 81—2022）的规定，非公路用旅游观光车辆具有4个以上（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A、座位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B、方向盘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C、车轮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D、车桥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23、根据《场(厂)内专用机动车辆安全技术规程》（TSG 81—2022）的规定，定期检验是指在场车生产单位或者（      ）单位进行自行检查的基础上，由经核准的特种设备检验机构依据《场车规程》对场车按照一定的周期进行的检验。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A、维保</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C、改造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24、根据《场(厂)内专用机动车辆安全技术规程》（TSG 81—2022）的规定，在用叉车的定期检验每（      ）年1次。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D、4</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25、根据《场(厂)内专用机动车辆安全技术规程》（TSG 81—2022）的规定，在用非公路用旅游观光车辆的定期检验（      ）1次。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A、每年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B、每2年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C、每3年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D、每4年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26、根据《场(厂)内专用机动车辆安全技术规程》（TSG 81—2022）的规定，在检验合格有效期届满的（      ）以前，向特种设备检验机构提出定期检验申请，接受检验，并且做好定期检验相关的配合工作。</w:t>
      </w:r>
    </w:p>
    <w:p>
      <w:pPr>
        <w:rPr>
          <w:rFonts w:ascii="宋体" w:hAnsi="宋体" w:eastAsia="宋体" w:cs="宋体"/>
          <w:color w:val="000000"/>
          <w:sz w:val="24"/>
          <w:szCs w:val="22"/>
        </w:rPr>
      </w:pP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A、10天</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B、半个月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C、1个月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D、20天</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27、根据《场(厂)内专用机动车辆安全技术规程》（TSG 81—2022）的规定，观光车辆的行驶路线中，任意连续20m路段的（      ）坡度不应当超过最大行驶坡度。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A、最大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B、最小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D、平均</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28、根据《场(厂)内专用机动车辆安全技术规程》（TSG 81—2022）的规定，观光车辆的行驶路线中不得存在爆炸性环境，路面边沿3m(弯道处为4.5m)内有悬崖、深谷、深沟或水域的路段，应当（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A、设置防护能力与车辆相匹配的路侧护栏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B、设置警示标志</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C、设置警示语句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D、安排专人值守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29、根据《场(厂)内专用机动车辆安全技术规程》（TSG 81—2022）的规定，观光车辆的行驶路线图，应当在乘客固定的（      ）位置明确标识。</w:t>
      </w:r>
    </w:p>
    <w:p>
      <w:pPr>
        <w:rPr>
          <w:rFonts w:ascii="宋体" w:hAnsi="宋体" w:eastAsia="宋体" w:cs="宋体"/>
          <w:color w:val="000000"/>
          <w:sz w:val="24"/>
          <w:szCs w:val="22"/>
        </w:rPr>
      </w:pP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A、上车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B、下车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C、上下车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D、座椅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30、根据《场(厂)内专用机动车辆安全技术规程》（TSG 81—2022）的规定，场车安全操作规程至少包括：（      ）时佩戴安全带(如果有)。</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A、行驶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B、停车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D、行驶和作业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31、根据《场(厂)内专用机动车辆安全技术规程》（TSG 81—2022）的规定，场车安全操作规程至少包括：车辆转弯、进出库门等须（      ）行驶。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B、加速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C、减速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D、均速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32、根据《场(厂)内专用机动车辆安全技术规程》（TSG 81—2022）的规定，使用单位应当对维护保养和检查中发现的异常情况应当及时处理，消除事故隐患，并且记录，记录存入安全技术档案；维护保养、定期自行检查记录至少保存（      ）年。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B、10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D、8</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33、根据《场(厂)内专用机动车辆安全技术规程》（TSG 81—2022）的规定，使用单位应当在场车（      ）投入使用前，按照使用维护说明的要求进行日常检查，在使用过程中还应当加强对场车的巡检，可不予记录。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A、每日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B、每周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C、每月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D、每季度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34、根据《场(厂)内专用机动车辆安全技术规程》（TSG 81—2022）的规定，场车的维护保养、月度检查由使用单位的场车（      ）实施。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A、安全管理人员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B、作业人员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C、维修人员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D、无关人员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35、根据《场(厂)内专用机动车辆安全技术规程》（TSG 81—2022）的规定，年度检查由使用单位的场车（      ）人员负责组织实施。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A、安全管理人员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B、作业人员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C、维修人员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D、无关人员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36、根据《场(厂)内专用机动车辆安全技术规程》（TSG 81—2022）的规定，更换叉车的防爆部件时，使用单位应当保证新部件的防爆级别和技术要求（      ）原部件，并且对整车防爆性能的有效性负责，更换记录、部件防爆合格证等技术资料应当存入安全技术档案。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A、等于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B、不低于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C、低于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D、不同于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37、根据《场(厂)内专用机动车辆安全技术规程》（TSG 81—2022）的规定，场车存在严重事故隐患，无改造、修理价值的，或者达到相关标准规定报废条件的，使用单位应当依法履行报废义务，采取必要措施消除该场车的使用功能，并且（      ）使用登记。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A、重新办理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B、报停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C、注销</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D、迁移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38、根据《场(厂)内专用机动车辆安全技术规程》（TSG 81—2022）的规定，改造是指改变原叉车车架结构、驾驶方式，动力方式、传动方式，或者改变叉车原（      ）或者载荷曲线的活动。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A、长度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B、重量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C、宽度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D、主参数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39、根据《场(厂)内专用机动车辆安全技术规程》（TSG 81—2022）的规定，委托生产的场车，产品合格证由委托方出具，制造地址填写（      ）地址。</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A、委托方单位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B、被委托方单位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D、实际制造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40、根据《场(厂)内专用机动车辆安全技术规程》（TSG 81—2022）的规定，叉车应当在醒目的位置以（      ）形式设置具有下列含义的安全标志：禁止站在货叉上、禁止站在货叉下、手指或者手被挤压风险提示，配备安全带的叉车还应当包括扣紧安全带。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A、图形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B、文字</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C、图形或文字</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D、图形和文字组合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41、根据《场(厂)内专用机动车辆安全技术规程》（TSG 81—2022）的规定，改造后，场车整车安全性能由（      ）单位负责。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C、改造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42、根据《场(厂)内专用机动车辆安全技术规程》（TSG 81—2022）的规定，场车改造、修理后，改造、修理单位应当按照要求完成检验，检验报告和相关技术资料应当移交（      ）单位存档。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B、改造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C、修理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43、根据《中华人民共和国特种设备安全法》的规定，特种设备使用单位应当在特种设备投入使用前或者投入使用后（      ）日内，向负责特种设备安全监督管理的部门办理使用登记，取得使用登记证书。登记标志应当置于该特种设备的显著位置。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A、10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C、30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D、60</w:t>
      </w:r>
    </w:p>
    <w:p>
      <w:pPr>
        <w:widowControl/>
        <w:jc w:val="left"/>
        <w:textAlignment w:val="center"/>
        <w:rPr>
          <w:rFonts w:ascii="宋体" w:hAnsi="宋体" w:eastAsia="宋体" w:cs="宋体"/>
          <w:color w:val="000000"/>
          <w:kern w:val="0"/>
          <w:sz w:val="24"/>
          <w:szCs w:val="22"/>
        </w:rPr>
      </w:pPr>
      <w:r>
        <w:rPr>
          <w:rFonts w:hint="eastAsia" w:ascii="宋体" w:hAnsi="宋体" w:eastAsia="宋体" w:cs="宋体"/>
          <w:color w:val="000000"/>
          <w:kern w:val="0"/>
          <w:sz w:val="24"/>
          <w:szCs w:val="22"/>
        </w:rPr>
        <w:t>44、根据《中华人民共和国特种设备安全法》的规定，特种设备使用单位（      ）建立特种设备安全技术档案。安全技术档案应当包括以下内容：</w:t>
      </w:r>
    </w:p>
    <w:p>
      <w:pPr>
        <w:widowControl/>
        <w:jc w:val="left"/>
        <w:textAlignment w:val="center"/>
        <w:rPr>
          <w:rFonts w:ascii="宋体" w:hAnsi="宋体" w:eastAsia="宋体" w:cs="宋体"/>
          <w:color w:val="000000"/>
          <w:kern w:val="0"/>
          <w:sz w:val="24"/>
          <w:szCs w:val="22"/>
        </w:rPr>
      </w:pPr>
      <w:r>
        <w:rPr>
          <w:rFonts w:hint="eastAsia" w:ascii="宋体" w:hAnsi="宋体" w:eastAsia="宋体" w:cs="宋体"/>
          <w:color w:val="000000"/>
          <w:kern w:val="0"/>
          <w:sz w:val="24"/>
          <w:szCs w:val="22"/>
        </w:rPr>
        <w:t>（一）特种设备的设计文件、产品质量合格证明、安装及使用维护保养说明、监督检验证明等相关技术资料和文件；</w:t>
      </w:r>
    </w:p>
    <w:p>
      <w:pPr>
        <w:widowControl/>
        <w:jc w:val="left"/>
        <w:textAlignment w:val="center"/>
        <w:rPr>
          <w:rFonts w:ascii="宋体" w:hAnsi="宋体" w:eastAsia="宋体" w:cs="宋体"/>
          <w:color w:val="000000"/>
          <w:kern w:val="0"/>
          <w:sz w:val="24"/>
          <w:szCs w:val="22"/>
        </w:rPr>
      </w:pPr>
      <w:r>
        <w:rPr>
          <w:rFonts w:hint="eastAsia" w:ascii="宋体" w:hAnsi="宋体" w:eastAsia="宋体" w:cs="宋体"/>
          <w:color w:val="000000"/>
          <w:kern w:val="0"/>
          <w:sz w:val="24"/>
          <w:szCs w:val="22"/>
        </w:rPr>
        <w:t>（二）特种设备的定期检验和定期自行检查记录；</w:t>
      </w:r>
    </w:p>
    <w:p>
      <w:pPr>
        <w:widowControl/>
        <w:jc w:val="left"/>
        <w:textAlignment w:val="center"/>
        <w:rPr>
          <w:rFonts w:ascii="宋体" w:hAnsi="宋体" w:eastAsia="宋体" w:cs="宋体"/>
          <w:color w:val="000000"/>
          <w:kern w:val="0"/>
          <w:sz w:val="24"/>
          <w:szCs w:val="22"/>
        </w:rPr>
      </w:pPr>
      <w:r>
        <w:rPr>
          <w:rFonts w:hint="eastAsia" w:ascii="宋体" w:hAnsi="宋体" w:eastAsia="宋体" w:cs="宋体"/>
          <w:color w:val="000000"/>
          <w:kern w:val="0"/>
          <w:sz w:val="24"/>
          <w:szCs w:val="22"/>
        </w:rPr>
        <w:t>（三）特种设备的日常使用状况记录；</w:t>
      </w:r>
    </w:p>
    <w:p>
      <w:pPr>
        <w:widowControl/>
        <w:jc w:val="left"/>
        <w:textAlignment w:val="center"/>
        <w:rPr>
          <w:rFonts w:ascii="宋体" w:hAnsi="宋体" w:eastAsia="宋体" w:cs="宋体"/>
          <w:color w:val="000000"/>
          <w:kern w:val="0"/>
          <w:sz w:val="24"/>
          <w:szCs w:val="22"/>
        </w:rPr>
      </w:pPr>
      <w:r>
        <w:rPr>
          <w:rFonts w:hint="eastAsia" w:ascii="宋体" w:hAnsi="宋体" w:eastAsia="宋体" w:cs="宋体"/>
          <w:color w:val="000000"/>
          <w:kern w:val="0"/>
          <w:sz w:val="24"/>
          <w:szCs w:val="22"/>
        </w:rPr>
        <w:t>（四）特种设备及其附属仪器仪表的维护保养记录；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（五）特种设备的运行故障和事故记录。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A、应当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B、可以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C、视情况</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D、可不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45、根据《中华人民共和国特种设备安全法》的规定，特种设备的使用（      ）具有规定的安全距离、安全防护措施。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B、应当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C、建议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46、根据《中华人民共和国特种设备安全法》的规定，特种设备使用单位应当按照安全技术规范的要求，在检验合格有效期届满前（      ）向特种设备检验机构提出定期检验要求。</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A、半个月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B、一个月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C、两个月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D、三个月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47、根据《中华人民共和国特种设备安全法》的规定，未经定期检验或者检验不合格的特种设备，（      ）继续使用。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A、不宜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B、不得</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C、可以监控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D、有条件的可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48、根据《特种设备安全监察条例》的规定，特种设备登记标志应当置于或者附着于该特种设备的（      ）位置。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A、显著</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B、底部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C、顶部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D、中部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49、根据《特种设备安全监察条例》的规定，特种设备使用单位（      ）对在用特种设备进行经常性日常维护保养，并定期自行检查。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A、应当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B、视情况</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C、根据销售协议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D、根据主要负责人的要求</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50、根据《特种设备安全监察条例》的规定，特种设备存在严重事故隐患，无改造、维修价值，或者超过安全技术规范规定使用年限，特种设备使用单位应当及时予以报废，并应当向原登记的特种设备安全监督管理部门办理（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A、变更登记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B、注销</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C、重新登记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D、停用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51、根据《特种设备使用管理规则》的规定，为保证特种设备的安全运行，特种设备使用单位应当根据所使用特种设备的类别、品种和特性进行（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A、检查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B、检验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C、定期自行检查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D、检测</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52、根据《特种设备使用管理规则》的规定，使用单位应当在特种设备定期检验有效期届满的 （      ） 个月以前，向特种设备检验机构提出定期检验申请，并且做好相关的准备工作。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53、根据《特种设备使用管理规则》的规定，定期检验完成后，使用单位应当组织进行特种设备管路连接、密封、附件 (含零部件、安全附件、安全保护装置、仪器仪表等)和内件安装、试运行等工作， 并且对其（      ）性负责。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B、安全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C、经济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D、节能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54、根据《特种设备使用管理规则》的规定，检验结论为合格时，使用单位应当按照检验结论确定的（      ）使用特种设备。</w:t>
      </w:r>
    </w:p>
    <w:p>
      <w:pPr>
        <w:rPr>
          <w:rFonts w:ascii="宋体" w:hAnsi="宋体" w:eastAsia="宋体" w:cs="宋体"/>
          <w:color w:val="000000"/>
          <w:sz w:val="24"/>
          <w:szCs w:val="22"/>
        </w:rPr>
      </w:pP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A、条件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B、参数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C、温度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D、压力</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55、根据《特种设备使用管理规则》的规定，使用单位应当按照隐患排查治理制度进行隐患排查，发现事故隐患（      ）消除，待隐患消除后，方可继续使用。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A、可暂不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B、应当及时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C、应当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D、不可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56、根据《特种设备使用管理规则》的规定，特种设备拟停用（      ）年以上的，使用单位应当采取有效的保护措施，并且设置停用标志，在停用后30日内告知登记机关。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57、根据《特种设备作业人员监督管理办法》的规定，特种设备作业人员证每（      ）年复审一次。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B、4</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58、根据《特种设备使用单位落实使用安全主体责任监督管理规定》的规定，场车安全员发现场车存在一般事故隐患时，应当立即进行处理；发现存在严重事故隐患时，应当立即责令停止使用并向（      ）报告，场车安全总监应当立即组织分析研判，采取处置措施，消除严重事故隐患。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A、场车安全员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B、场车安全总监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C、主要负责人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D、班组长</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59、根据《特种设备使用单位落实使用安全主体责任监督管理规定》的规定，场车安全员要每（      ）根据场车安全风险管控清单，按照相关安全技术规范和本单位安全管理制度的要求，对投入使用的场车进行巡检，形成每日场车安全检查记录，对发现的安全风险隐患，应当立即采取防范措施，及时上报场车安全总监或者单位主要负责人。未发现问题的，也应当予以记录，实行零风险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60、根据《特种设备使用管理规则》的规定，特种设备使用单位应当根据本单位特种设备数量、特性等配备相应持证的特种 设备作业人员，并且在使用特种设备时应当保证每班（      ）有一名持证的作业人员在岗。</w:t>
      </w:r>
    </w:p>
    <w:p>
      <w:pPr>
        <w:rPr>
          <w:rFonts w:ascii="宋体" w:hAnsi="宋体" w:eastAsia="宋体" w:cs="宋体"/>
          <w:color w:val="000000"/>
          <w:sz w:val="24"/>
          <w:szCs w:val="22"/>
        </w:rPr>
      </w:pP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A、可以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B、应当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C、需要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D、至少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61、根据《特种设备作业人员监督管理办法》的规定，锅炉、压力容器（含气瓶）、压力管道、电梯、起重机械、客运索道、大型游乐设施、场（厂）内专用机动车辆等特种设备的作业人员及其相关管理人员统称特种设备（      ）人员。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B、操作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C、管理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D、控制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62、根据《特种设备使用单位落实使用安全主体责任监督管理规定》的规定，场车使用单位应当根据本单位场车的数量、用途、使用环境等情况，配备场车安全总监和足够数量的场车安全员，并（      ）明确负责的场车安全员。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A、视情况</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B、自行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C、逐台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D、立即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63、根据《特种设备使用单位落实使用安全主体责任监督管理规定》的规定，场车使用单位及其主要负责人无正当理由未采纳场车安全总监和场车安全员依照《特种设备使用单位落实使用安全主体责任监督管理规定》第一百三十六条提出的意见或者建议的，应当认为场车安全总监和场车安全员已经（      ），不予处罚。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A、开展工作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B、努力工作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C、依法履职尽责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D、尽心尽力</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64、根据《特种设备使用单位落实使用安全主体责任监督管理规定》的规定，场车使用单位主要负责人、场车安全总监、场车安全员未按规定要求落实（      ）安全责任的，由县级以上地方市场监督管理部门责令改正并给予通报批评；拒不改正的，对责任人处二千元以上一万元以下罚款。法律、行政法规另有规定的，依照其规定执行。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A、管理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C、安装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D、调试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65、根据《特种设备使用单位落实使用安全主体责任监督管理规定》的规定，场车安全员是指本单位具体负责场车使用安全的（      ）人员。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A、管理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B、检查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C、操作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66、根据《特种设备安全监督检查办法》的规定，特种设备未取得许可生产、国家明令淘汰、已经报废或者达到报废条件，继续使用的，属于（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67、根据《特种设备安全监督检查办法》的规定，特种设备发生过事故或者有明显故障，未对其进行全面检查、消除事故隐患，继续使用的，属于（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68、根据《特种设备安全监督检查办法》的规定，特种设备未经监督检验或者经检验、检测不合格，继续使用的，属于（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69、根据《特种设备安全监督检查办法》的规定，特种设备安全附件、安全保护装置缺失或者失灵，继续使用的，属于（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70、根据《特种设备安全监督检查办法》的规定，特种设备超过规定参数、使用范围使用的，属于（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A、一般问题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B、严重事故隐患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C、民事犯罪</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D、刑事犯罪</w:t>
      </w:r>
    </w:p>
    <w:p>
      <w:pPr>
        <w:jc w:val="right"/>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2FiZDIzMjBhYjY3YjcwYmIxYWI1NjM4YzVmYjEyMDMifQ=="/>
  </w:docVars>
  <w:rsids>
    <w:rsidRoot w:val="00172A27"/>
    <w:rsid w:val="00172A27"/>
    <w:rsid w:val="006A3CBA"/>
    <w:rsid w:val="00AA5283"/>
    <w:rsid w:val="12126F0F"/>
    <w:rsid w:val="18A43CD5"/>
    <w:rsid w:val="1F4130C0"/>
    <w:rsid w:val="216817E6"/>
    <w:rsid w:val="245A1466"/>
    <w:rsid w:val="39FA01F5"/>
    <w:rsid w:val="3B961DEB"/>
    <w:rsid w:val="4C5864D9"/>
    <w:rsid w:val="51FE1B1E"/>
    <w:rsid w:val="58D46270"/>
    <w:rsid w:val="5FE60B58"/>
    <w:rsid w:val="647B4D4D"/>
    <w:rsid w:val="6F060E0B"/>
    <w:rsid w:val="721A2C2C"/>
    <w:rsid w:val="72D36533"/>
    <w:rsid w:val="75B74E17"/>
    <w:rsid w:val="78EF198E"/>
    <w:rsid w:val="79714DCE"/>
    <w:rsid w:val="7B410710"/>
    <w:rsid w:val="7C658DE6"/>
    <w:rsid w:val="7EF59F22"/>
    <w:rsid w:val="DEFFBD06"/>
    <w:rsid w:val="FF19C2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qFormat/>
    <w:uiPriority w:val="0"/>
    <w:rPr>
      <w:sz w:val="18"/>
      <w:szCs w:val="18"/>
    </w:rPr>
  </w:style>
  <w:style w:type="paragraph" w:styleId="3">
    <w:name w:val="footer"/>
    <w:basedOn w:val="1"/>
    <w:link w:val="8"/>
    <w:qFormat/>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0"/>
    <w:rPr>
      <w:rFonts w:asciiTheme="minorHAnsi" w:hAnsiTheme="minorHAnsi" w:eastAsiaTheme="minorEastAsia" w:cstheme="minorBidi"/>
      <w:kern w:val="2"/>
      <w:sz w:val="18"/>
      <w:szCs w:val="18"/>
    </w:rPr>
  </w:style>
  <w:style w:type="character" w:customStyle="1" w:styleId="8">
    <w:name w:val="页脚 Char"/>
    <w:basedOn w:val="6"/>
    <w:link w:val="3"/>
    <w:qFormat/>
    <w:uiPriority w:val="0"/>
    <w:rPr>
      <w:rFonts w:asciiTheme="minorHAnsi" w:hAnsiTheme="minorHAnsi" w:eastAsiaTheme="minorEastAsia" w:cstheme="minorBidi"/>
      <w:kern w:val="2"/>
      <w:sz w:val="18"/>
      <w:szCs w:val="18"/>
    </w:rPr>
  </w:style>
  <w:style w:type="character" w:customStyle="1" w:styleId="9">
    <w:name w:val="批注框文本 Char"/>
    <w:basedOn w:val="6"/>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23490</Words>
  <Characters>24809</Characters>
  <Lines>26</Lines>
  <Paragraphs>52</Paragraphs>
  <TotalTime>52</TotalTime>
  <ScaleCrop>false</ScaleCrop>
  <LinksUpToDate>false</LinksUpToDate>
  <CharactersWithSpaces>25691</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2024-01-25T17:32:00Z</dcterms:created>
  <dc:creator>R1218</dc:creator>
  <cp:lastModifiedBy>pingtan</cp:lastModifiedBy>
  <dcterms:modified xsi:type="dcterms:W3CDTF">2024-08-20T10:45:06Z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