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场车使用单位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场车安全总监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numPr>
          <w:ilvl w:val="0"/>
          <w:numId w:val="1"/>
        </w:numPr>
        <w:kinsoku/>
        <w:wordWrap/>
        <w:overflowPunct/>
        <w:topLinePunct w:val="0"/>
        <w:autoSpaceDE/>
        <w:autoSpaceDN/>
        <w:bidi w:val="0"/>
        <w:adjustRightInd/>
        <w:snapToGrid/>
        <w:spacing w:line="36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81—2022）的规定，工厂厂区，指有明确管理边界，从事加工、组装等的制造厂厂区，港口(码头)，铁路货场和物流园区。（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81—2022）的规定，场车安全管理人员和相关人员应当到场配合、协助检验工作，负责现场安全监护。（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81—2022）的规定，在场车首次投入使用前，向特种设备检验机构申请首次检验。（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81—2022）的规定，改造，是指改变原叉车的动力方式、传动方式、车架结构、驾驶方式，观光车辆的动力方式、传动方式，或者改变场车原主参数或者载荷曲线的活动。（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5、根据《特种设备安全监督检查办法》的规定，特种设备未经监督检验或者经检验、检测不合格，继续使用的，属于严重事故隐患。（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6、根据《特种设备安全监督检查办法》的规定，特种设备发生过事故或者有明显故障，未对其进行全面检查、消除事故隐患，继续使用的，不属于严重事故隐患。（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9、根据《中华人民共和国特种设备安全法》的规定，特种设备存在严重事故隐患，无改造、修理价值，或者达到安全技术规范规定的其他报废条件的，特种设备使用单位应当依法履行报废义务。（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10、根据《特种设备安全监察条例》的规定，特种设备使用单位应当建立特种设备安全技术档案。（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11、根据《特种设备使用管理规则》的规定，使用单位可拒绝接受特种设备安全监管部门依法实施的监督检查。（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12、根据《特种设备使用管理规则》的规定，使用特种设备(不含气瓶)总量 50 台以上(含 50 台)的的使用单位应设置特种设备安全管理机构。（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13、根据《特种设备作业人员监督管理办法》的规定，作业人员未能参加用人单位培训的，可以选择专业培训机构进行培训。（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14、根据《特种设备作业人员监督管理办法》的规定，申请人隐瞒有关情况或者提供虚假材料申请特种设备作业人员证的，不予受理或者不予批准发证，并在1年内不得再次申请特种设备作业人员证。（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15、根据《特种设备使用单位落实使用安全主体责任监督管理规定》的规定，场车使用单位主要负责人对本单位场车使用安全全面负责。（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特种设备使用单位落实使用安全主体责任监督管理规定》的规定，场车安全总监要每周至少组织一次风险隐患排查，分析研判场车使用安全管理情况，研究解决日管控中发现的问题，形成每周场车安全排查治理报告。（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特种设备使用单位落实使用安全主体责任监督管理规定》的规定，场车使用单位应当将主要负责人、场车安全总监和场车安全员的设立、调整情况，场车安全风险管控清单场车安全总监职责场车安全员守则以及场车安全总监、场车安全员提出的意见建议、报告和问题整改落实等履职情况予以记录并存档备查。（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18、根据《特种设备使用单位落实使用安全主体责任监督管理规定》的规定，监督抽查考核不合格，不再符合场车使用要求的，使用单位应当立即采取整改措施。（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19、根据《场(厂)内专用机动车辆安全技术规程》（TSG 81—2022）的规定，旅游景区，指有明确管理边界，纳入风景游览区、公园、动物园、植物园范畴管理的区域。（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20、根据《场(厂)内专用机动车辆安全技术规程》（TSG 81—2022）的规定，游乐场所，指有明确管理边界，纳入游乐场、主题乐园范畴管理的区域。（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numPr>
          <w:ilvl w:val="0"/>
          <w:numId w:val="1"/>
        </w:numPr>
        <w:kinsoku/>
        <w:wordWrap/>
        <w:overflowPunct/>
        <w:topLinePunct w:val="0"/>
        <w:autoSpaceDE/>
        <w:autoSpaceDN/>
        <w:bidi w:val="0"/>
        <w:adjustRightInd/>
        <w:snapToGrid/>
        <w:spacing w:line="36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81—2022）的规定，以下区域不属于旅游景区的是（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A、风景游览区</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B、公园</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C、工厂厂区</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D、动物园</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81—2022）的规定，定期检验是指在场车生产单位或者（      ）单位进行自行检查的基础上，由经核准的特种设备检验机构依据《场车规程》对场车按照一定的周期进行的检验。</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A、维保</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D、检验</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81—2022）的规定，在用叉车的定期检验每（      ）年1次。</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A、5</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B、2</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C、3</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D、4</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81—2022）的规定，观光车辆的行驶路线中不得存在爆炸性环境，路面边沿3m(弯道处为4.5m)内有悬崖、深谷、深沟或水域的路段，应当（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A、设置防护能力与车辆相匹配的路侧护栏</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B、设置警示标志</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C、设置警示语句</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D、安排专人值守</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81—2022）的规定，改造是指改变原叉车车架结构、驾驶方式，动力方式、传动方式，或者改变叉车原（      ）或者载荷曲线的活动。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A、长度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B、重量</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C、宽度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D、主参数</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81—2022）的规定，改造后，场车整车安全性能由（      ）单位负责。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B、设计</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81—2022）的规定，场车改造、修理后，改造、修理单位应当按照要求完成检验，检验报告和相关技术资料应当移交（      ）单位存档。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C、修理</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8、根据《特种设备安全监督检查办法》的规定，特种设备未取得许可生产、国家明令淘汰、已经报废或者达到报废条件，继续使用的，属于（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9、根据《特种设备安全监督检查办法》的规定，特种设备发生过事故或者有明显故障，未对其进行全面检查、消除事故隐患，继续使用的，属于（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10、根据《特种设备安全监督检查办法》的规定，特种设备未经监督检验或者经检验、检测不合格，继续使用的，属于（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11、根据《特种设备安全监督检查办法》的规定，特种设备安全附件、安全保护装置缺失或者失灵，继续使用的，属于（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A、半</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B、1</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C、2</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D、3</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A、负责人</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B、特种设备主管</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C、特种设备安全管理员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D、特种设备作业人员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14、根据《中华人民共和国特种设备安全法》的规定，特种设备进行改造、修理，按照规定需要变更使用登记的，应当办理（      ），方可继续使用。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A、变更登记</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B、报废</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C、停用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D、重新登记</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15、根据《特种设备安全监察条例》的规定，特种设备使用单位应当使用符合（      ）要求的特种设备。</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A、安全技术规范</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B、使用单位</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C、检查人员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D、上级部门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16、根据《特种设备安全监察条例》的规定，特种设备不符合能效指标的，特种设备使用单位应当采取相应措施进行（      ）。</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A、修理</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C、整改</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D、报废</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17、根据《特种设备使用管理规则》的规定，主要负责人是指特种设备使用单位的实际最高管理者，对其单位所使用的特种设备安全节能负总责，每（      ）至少组织召开一次安全调度会议。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D、季度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18、根据《特种设备使用管理规则》的规定，按照特种设备使用管理规则要求设置安 全管理机构的使用单位安全管理负责人， （      ）取得相应的特种设备安全管理人员资格证书。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B、应当</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C、视情况</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D、根据需要</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19、根据《特种设备使用管理规则》的规定，高耗能特种设备使用单位应当配备（      ）管理人员，负责宣传贯彻特种设备节能的法律法规。</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B、技术</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C、经费</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D、节能</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A、作业</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B、操作</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C、管理</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D、控制</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A、考试机构</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B、用人单位</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C、培训机构</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D、发证机关</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A、邀请</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B、解雇（聘）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C、雇（聘）用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D、同意</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23、根据《特种设备使用单位落实使用安全主体责任监督管理规定》的规定，场车使用单位应当根据本单位场车的数量、用途、使用环境等情况，配备场车安全总监和足够数量的场车安全员，并（      ）明确负责的场车安全员。</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A、视情况</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B、自行</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C、逐台</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D、立即</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24、根据《特种设备使用单位落实使用安全主体责任监督管理规定》的规定，场车使用单位应当建立基于场车（      ）防控的动态管理机制，结合本单位实际，落实自查要求，制定场车安全风险管控清单，建立健全日管控、周排查、月调度工作制度和机制。</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B、风险隐患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C、安全风险</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D、安全管理</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25、根据《特种设备使用单位落实使用安全主体责任监督管理规定》的规定，场车安全总监要每（      ）至少组织一次风险隐患排查，分析研判场车使用安全管理情况，研究解决日管控中发现的问题，形成每周场车安全排查治理报告。</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26、根据《特种设备使用单位落实使用安全主体责任监督管理规定》的规定，场车使用单位主要负责人要每（      ）至少听取一次场车安全总监管理工作情况汇报，对当月场车安全日常管理、风险隐患排查治理等情况进行总结，对下个月重点工作作出调度安排，形成每月场车安全调度会议纪要。</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特种设备使用单位落实使用安全主体责任监督管理规定》的规定，场车使用单位及其主要负责人无正当理由未采纳场车安全总监和场车安全员依照《特种设备使用单位落实使用安全主体责任监督管理规定》第一百三十六条提出的意见或者建议的，应当认为场车安全总监和场车安全员已经（      ），不予处罚。</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A、开展工作</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B、努力工作</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C、依法履职尽责</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D、尽心尽力</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28、根据《特种设备使用单位落实使用安全主体责任监督管理规定》的规定，场车使用单位主要负责人、场车安全总监、场车安全员未按规定要求落实（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A、管理</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C、安装</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D、调试</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29、根据《场(厂)内专用机动车辆安全技术规程》（TSG 81—2022）的规定，非公路用旅游观光车辆(以下简称观光车辆)，指具有4个以上车轮、（      ）、座位数(含司机座位)不小于6且用于旅游观光运营服务的自行式乘用车辆，包括观光车和观光列车。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A、有轨道无架线</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B、非轨道有架线</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C、有轨道有架线</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D、非轨道无架线</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30、根据《场(厂)内专用机动车辆安全技术规程》（TSG 81—2022）的规定，使用单位购置观光车辆时，保证观光车辆的最大行驶坡度能够满足使用单位行驶路线中的（      ）的要求，并且在销售合同中明确。</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A、平均坡度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B、最小坡度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C、最大坡度</w:t>
      </w:r>
    </w:p>
    <w:p>
      <w:pPr>
        <w:keepNext w:val="0"/>
        <w:keepLines w:val="0"/>
        <w:pageBreakBefore w:val="0"/>
        <w:widowControl/>
        <w:kinsoku/>
        <w:wordWrap/>
        <w:overflowPunct/>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D、最小坡度与最大坡度之和</w:t>
      </w:r>
    </w:p>
    <w:p>
      <w:pPr>
        <w:keepNext w:val="0"/>
        <w:keepLines w:val="0"/>
        <w:pageBreakBefore w:val="0"/>
        <w:kinsoku/>
        <w:wordWrap/>
        <w:overflowPunct/>
        <w:topLinePunct w:val="0"/>
        <w:autoSpaceDE/>
        <w:autoSpaceDN/>
        <w:bidi w:val="0"/>
        <w:adjustRightInd/>
        <w:snapToGrid/>
        <w:spacing w:line="360" w:lineRule="exact"/>
        <w:jc w:val="both"/>
        <w:rPr>
          <w:rFonts w:hint="eastAsia"/>
        </w:rPr>
      </w:pPr>
      <w:bookmarkStart w:id="0" w:name="_GoBack"/>
      <w:bookmarkEnd w:id="0"/>
    </w:p>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17pt;height:35.15pt;width:79.85pt;mso-position-horizontal:inside;mso-position-horizontal-relative:margin;z-index:251659264;mso-width-relative:page;mso-height-relative:page;" filled="f" stroked="f" coordsize="21600,21600">
          <v:path/>
          <v:fill on="f" focussize="0,0"/>
          <v:stroke on="f"/>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FiZDIzMjBhYjY3YjcwYmIxYWI1NjM4YzVmYjEyMDMifQ=="/>
  </w:docVars>
  <w:rsids>
    <w:rsidRoot w:val="00172A27"/>
    <w:rsid w:val="00172A27"/>
    <w:rsid w:val="00572310"/>
    <w:rsid w:val="006D7B51"/>
    <w:rsid w:val="007B3905"/>
    <w:rsid w:val="008F75F9"/>
    <w:rsid w:val="009308FE"/>
    <w:rsid w:val="12126F0F"/>
    <w:rsid w:val="18A43CD5"/>
    <w:rsid w:val="1F4130C0"/>
    <w:rsid w:val="216817E6"/>
    <w:rsid w:val="245A1466"/>
    <w:rsid w:val="39FA01F5"/>
    <w:rsid w:val="40B51A50"/>
    <w:rsid w:val="4C5864D9"/>
    <w:rsid w:val="51FE1B1E"/>
    <w:rsid w:val="58D46270"/>
    <w:rsid w:val="647B4D4D"/>
    <w:rsid w:val="6F060E0B"/>
    <w:rsid w:val="721A2C2C"/>
    <w:rsid w:val="72D36533"/>
    <w:rsid w:val="75B74E17"/>
    <w:rsid w:val="78EF198E"/>
    <w:rsid w:val="79714DCE"/>
    <w:rsid w:val="BBDE041E"/>
    <w:rsid w:val="E0B9041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qFormat/>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0"/>
    <w:rPr>
      <w:rFonts w:asciiTheme="minorHAnsi" w:hAnsiTheme="minorHAnsi" w:eastAsiaTheme="minorEastAsia" w:cstheme="minorBidi"/>
      <w:kern w:val="2"/>
      <w:sz w:val="18"/>
      <w:szCs w:val="18"/>
    </w:rPr>
  </w:style>
  <w:style w:type="character" w:customStyle="1" w:styleId="8">
    <w:name w:val="页脚 Char"/>
    <w:basedOn w:val="6"/>
    <w:link w:val="3"/>
    <w:qFormat/>
    <w:uiPriority w:val="0"/>
    <w:rPr>
      <w:rFonts w:asciiTheme="minorHAnsi" w:hAnsiTheme="minorHAnsi" w:eastAsiaTheme="minorEastAsia" w:cstheme="minorBidi"/>
      <w:kern w:val="2"/>
      <w:sz w:val="18"/>
      <w:szCs w:val="18"/>
    </w:rPr>
  </w:style>
  <w:style w:type="character" w:customStyle="1" w:styleId="9">
    <w:name w:val="批注框文本 Char"/>
    <w:basedOn w:val="6"/>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12201</Words>
  <Characters>12581</Characters>
  <Lines>10</Lines>
  <Paragraphs>26</Paragraphs>
  <TotalTime>4</TotalTime>
  <ScaleCrop>false</ScaleCrop>
  <LinksUpToDate>false</LinksUpToDate>
  <CharactersWithSpaces>13012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2024-08-20T16:37:05Z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