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黑体" w:hAnsi="黑体" w:eastAsia="黑体" w:cs="黑体"/>
          <w:kern w:val="0"/>
          <w:sz w:val="32"/>
          <w:szCs w:val="32"/>
          <w:lang w:eastAsia="zh-Hans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eastAsia="zh-Hans"/>
        </w:rPr>
        <w:t>附件</w:t>
      </w:r>
    </w:p>
    <w:tbl>
      <w:tblPr>
        <w:tblStyle w:val="5"/>
        <w:tblpPr w:leftFromText="180" w:rightFromText="180" w:vertAnchor="text" w:horzAnchor="page" w:tblpXSpec="center" w:tblpY="714"/>
        <w:tblOverlap w:val="never"/>
        <w:tblW w:w="15161" w:type="dxa"/>
        <w:jc w:val="center"/>
        <w:tblInd w:w="4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4299"/>
        <w:gridCol w:w="98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51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Hans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Hans" w:bidi="ar"/>
              </w:rPr>
              <w:t>平潭综合实验区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知识产权质押融资企业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Hans" w:bidi="ar"/>
              </w:rPr>
              <w:t>“白名单”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（第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Hans" w:bidi="ar"/>
              </w:rPr>
              <w:t>一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  <w:lang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宗仁科技（平潭）股份有限公司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省级“专精特新”企业、国家级知识产权优势企业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铠强科技（平潭）有限公司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已开展过知识产权质押融资且正常还款企业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福建强坤机械设备有限公司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福建省知识产权优势企业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福建平潭瑞谦智能科技有限公司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福建省知识产权优势企业、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已开展过知识产权质押融资且正常还款企业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福建纳仕达电子股份有限公司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省级专精特新”企业、国家级知识产权优势企业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4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平潭煜想时代科技有限公司</w:t>
            </w:r>
          </w:p>
        </w:tc>
        <w:tc>
          <w:tcPr>
            <w:tcW w:w="9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省级“专精特新”企业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20CF0"/>
    <w:rsid w:val="1ADB44E5"/>
    <w:rsid w:val="1D86448E"/>
    <w:rsid w:val="411F5A8F"/>
    <w:rsid w:val="49F112A9"/>
    <w:rsid w:val="4C5835D4"/>
    <w:rsid w:val="60417473"/>
    <w:rsid w:val="61056279"/>
    <w:rsid w:val="6472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2024-10-25T09:28:00Z</dcterms:created>
  <dc:creator>星星</dc:creator>
  <cp:lastModifiedBy>星星</cp:lastModifiedBy>
  <dcterms:modified xsi:type="dcterms:W3CDTF">2024-10-25T09:29:25Z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