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hd w:val="clear" w:color="auto" w:fill="FFFFFF"/>
        <w:spacing w:after="210"/>
        <w:jc w:val="center"/>
        <w:outlineLvl w:val="1"/>
        <w:rPr>
          <w:rFonts w:hint="eastAsia" w:ascii="方正小标宋简体" w:hAnsi="方正小标宋简体" w:eastAsia="方正小标宋简体" w:cs="方正小标宋简体"/>
          <w:b w:val="0"/>
          <w:bCs w:val="0"/>
          <w:color w:val="333333"/>
          <w:spacing w:val="8"/>
          <w:kern w:val="0"/>
          <w:sz w:val="48"/>
          <w:szCs w:val="48"/>
        </w:rPr>
      </w:pPr>
      <w:r>
        <w:rPr>
          <w:rFonts w:hint="eastAsia" w:ascii="方正小标宋简体" w:hAnsi="方正小标宋简体" w:eastAsia="方正小标宋简体" w:cs="方正小标宋简体"/>
          <w:b w:val="0"/>
          <w:bCs w:val="0"/>
          <w:color w:val="333333"/>
          <w:spacing w:val="8"/>
          <w:kern w:val="0"/>
          <w:sz w:val="48"/>
          <w:szCs w:val="48"/>
          <w:lang w:val="en-US" w:eastAsia="zh-CN"/>
        </w:rPr>
        <w:t>平潭综合实验区海坛片区洋潮屿地块</w:t>
      </w:r>
      <w:r>
        <w:rPr>
          <w:rFonts w:hint="eastAsia" w:ascii="方正小标宋简体" w:hAnsi="方正小标宋简体" w:eastAsia="方正小标宋简体" w:cs="方正小标宋简体"/>
          <w:b w:val="0"/>
          <w:bCs w:val="0"/>
          <w:color w:val="333333"/>
          <w:spacing w:val="8"/>
          <w:kern w:val="0"/>
          <w:sz w:val="48"/>
          <w:szCs w:val="48"/>
        </w:rPr>
        <w:t>土地征收成片开发方案（草案）</w:t>
      </w:r>
    </w:p>
    <w:p>
      <w:pPr>
        <w:pStyle w:val="4"/>
        <w:numPr>
          <w:ilvl w:val="0"/>
          <w:numId w:val="0"/>
        </w:numPr>
        <w:ind w:left="426" w:leftChars="0" w:firstLine="321" w:firstLineChars="100"/>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一、编制依据</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b w:val="0"/>
          <w:bCs w:val="0"/>
          <w:kern w:val="0"/>
          <w:sz w:val="32"/>
          <w:szCs w:val="32"/>
          <w:shd w:val="clear" w:color="auto" w:fill="FFFFFF"/>
          <w:lang w:val="en-US" w:eastAsia="zh-CN" w:bidi="ar-SA"/>
        </w:rPr>
      </w:pPr>
      <w:r>
        <w:rPr>
          <w:rFonts w:hint="eastAsia" w:ascii="仿宋_GB2312" w:hAnsi="仿宋_GB2312" w:eastAsia="仿宋_GB2312" w:cs="仿宋_GB2312"/>
          <w:b w:val="0"/>
          <w:bCs w:val="0"/>
          <w:kern w:val="0"/>
          <w:sz w:val="32"/>
          <w:szCs w:val="32"/>
          <w:shd w:val="clear" w:color="auto" w:fill="FFFFFF"/>
          <w:lang w:val="en-US" w:eastAsia="zh-CN" w:bidi="ar-SA"/>
        </w:rPr>
        <w:t>依据《平潭综合实验区国民经济和社会发展第十三个五年规划纲要》、《平潭综合实验区国土空间总体规划（2018-2035年）》、《平潭综合实验区岚城组团控制性详细规划》，编制《平潭综合实验区海坛片区洋潮屿地块成片开发方案》。</w:t>
      </w:r>
    </w:p>
    <w:p>
      <w:pPr>
        <w:pStyle w:val="4"/>
        <w:keepNext w:val="0"/>
        <w:keepLines w:val="0"/>
        <w:pageBreakBefore w:val="0"/>
        <w:numPr>
          <w:ilvl w:val="0"/>
          <w:numId w:val="0"/>
        </w:numPr>
        <w:kinsoku/>
        <w:wordWrap/>
        <w:overflowPunct/>
        <w:topLinePunct w:val="0"/>
        <w:autoSpaceDE/>
        <w:autoSpaceDN/>
        <w:bidi w:val="0"/>
        <w:adjustRightInd/>
        <w:snapToGrid/>
        <w:spacing w:line="500" w:lineRule="exact"/>
        <w:ind w:left="426" w:leftChars="0" w:firstLine="321" w:firstLineChars="1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eastAsia="zh-CN"/>
        </w:rPr>
        <w:t>二、</w:t>
      </w:r>
      <w:r>
        <w:rPr>
          <w:rFonts w:hint="eastAsia" w:ascii="仿宋_GB2312" w:hAnsi="仿宋_GB2312" w:eastAsia="仿宋_GB2312" w:cs="仿宋_GB2312"/>
          <w:sz w:val="32"/>
          <w:szCs w:val="32"/>
        </w:rPr>
        <w:t>基本情况</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b w:val="0"/>
          <w:bCs w:val="0"/>
          <w:kern w:val="0"/>
          <w:sz w:val="32"/>
          <w:szCs w:val="32"/>
          <w:shd w:val="clear" w:color="auto" w:fill="FFFFFF"/>
          <w:lang w:val="en-US" w:eastAsia="zh-CN" w:bidi="ar-SA"/>
        </w:rPr>
      </w:pPr>
      <w:r>
        <w:rPr>
          <w:rFonts w:hint="eastAsia" w:ascii="仿宋_GB2312" w:hAnsi="仿宋_GB2312" w:eastAsia="仿宋_GB2312" w:cs="仿宋_GB2312"/>
          <w:b w:val="0"/>
          <w:bCs w:val="0"/>
          <w:kern w:val="0"/>
          <w:sz w:val="32"/>
          <w:szCs w:val="32"/>
          <w:shd w:val="clear" w:color="auto" w:fill="FFFFFF"/>
          <w:lang w:val="en-US" w:eastAsia="zh-CN" w:bidi="ar-SA"/>
        </w:rPr>
        <w:t>平潭综合实验区海坛片区洋潮屿地块土地征收成片开发地块地处平潭岛中部的岚城组团内，规划地块位与龙凤中路和瑶竹南路相交。用地范围南北宽0.87公里，东西长约0.88公里，用地总规模为59.1935公顷。根据2018年度变更调查数据分析，用地现状主要为耕地、林地、草地、交通建设用地及水域水利设施用地等。</w:t>
      </w:r>
    </w:p>
    <w:p>
      <w:pPr>
        <w:pStyle w:val="4"/>
        <w:keepNext w:val="0"/>
        <w:keepLines w:val="0"/>
        <w:pageBreakBefore w:val="0"/>
        <w:numPr>
          <w:ilvl w:val="0"/>
          <w:numId w:val="0"/>
        </w:numPr>
        <w:kinsoku/>
        <w:wordWrap/>
        <w:overflowPunct/>
        <w:topLinePunct w:val="0"/>
        <w:autoSpaceDE/>
        <w:autoSpaceDN/>
        <w:bidi w:val="0"/>
        <w:adjustRightInd/>
        <w:snapToGrid/>
        <w:spacing w:line="500" w:lineRule="exact"/>
        <w:ind w:left="426" w:leftChars="0" w:firstLine="321" w:firstLineChars="100"/>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eastAsia="zh-CN"/>
        </w:rPr>
        <w:t>三、成片开发的合理性和公共利益属性</w:t>
      </w:r>
    </w:p>
    <w:p>
      <w:pPr>
        <w:pStyle w:val="5"/>
        <w:keepNext w:val="0"/>
        <w:keepLines w:val="0"/>
        <w:pageBreakBefore w:val="0"/>
        <w:numPr>
          <w:ilvl w:val="0"/>
          <w:numId w:val="4"/>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0" w:name="_Toc55910583"/>
      <w:r>
        <w:rPr>
          <w:rFonts w:hint="eastAsia" w:ascii="仿宋_GB2312" w:hAnsi="仿宋_GB2312" w:eastAsia="仿宋_GB2312" w:cs="仿宋_GB2312"/>
          <w:sz w:val="32"/>
          <w:szCs w:val="32"/>
          <w:shd w:val="clear" w:color="auto" w:fill="FFFFFF"/>
        </w:rPr>
        <w:t>合理性</w:t>
      </w:r>
      <w:bookmarkEnd w:id="0"/>
    </w:p>
    <w:p>
      <w:pPr>
        <w:pStyle w:val="6"/>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成片开发建设方案符合国民经济和社会发展规划、国民经济和社会发展年度计划、土地利用总体规划、城市规划和专项规划等相关规划。</w:t>
      </w:r>
    </w:p>
    <w:p>
      <w:pPr>
        <w:pStyle w:val="5"/>
        <w:keepNext w:val="0"/>
        <w:keepLines w:val="0"/>
        <w:pageBreakBefore w:val="0"/>
        <w:numPr>
          <w:ilvl w:val="0"/>
          <w:numId w:val="2"/>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1" w:name="_Toc55910584"/>
      <w:r>
        <w:rPr>
          <w:rFonts w:hint="eastAsia" w:ascii="仿宋_GB2312" w:hAnsi="仿宋_GB2312" w:eastAsia="仿宋_GB2312" w:cs="仿宋_GB2312"/>
          <w:sz w:val="32"/>
          <w:szCs w:val="32"/>
          <w:shd w:val="clear" w:color="auto" w:fill="FFFFFF"/>
        </w:rPr>
        <w:t>公益性</w:t>
      </w:r>
      <w:bookmarkEnd w:id="1"/>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项目建设有不仅可以带动带动当地经济贸易的发展、增强新老城区的互补，还有利于往来吸收当地农业剩余劳动力，降低城市就业压力；有利于带动科技、教育、文化、旅游等各项社会事业发展；有利于缩小城乡差距，促进城乡一体化，实现城乡经济社会的协调发展。</w:t>
      </w:r>
    </w:p>
    <w:p>
      <w:pPr>
        <w:pStyle w:val="7"/>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2" w:name="_Toc55910585"/>
      <w:r>
        <w:rPr>
          <w:rFonts w:hint="eastAsia" w:ascii="仿宋_GB2312" w:hAnsi="仿宋_GB2312" w:eastAsia="仿宋_GB2312" w:cs="仿宋_GB2312"/>
          <w:sz w:val="32"/>
          <w:szCs w:val="32"/>
          <w:shd w:val="clear" w:color="auto" w:fill="FFFFFF"/>
        </w:rPr>
        <w:t>选址适宜性</w:t>
      </w:r>
      <w:bookmarkEnd w:id="2"/>
    </w:p>
    <w:p>
      <w:pPr>
        <w:pStyle w:val="6"/>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项目选址未见现状地质灾害，未处于地质灾害易发区；未发现有重要工业价值的矿产资源，没有压覆现有矿山和已经探明的矿产资源；未占用永久基本农田、未占用生态保护红线；未占用各级各类自然保护区和风景名胜区。</w:t>
      </w:r>
    </w:p>
    <w:p>
      <w:pPr>
        <w:pStyle w:val="7"/>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3" w:name="_Toc55910586"/>
      <w:r>
        <w:rPr>
          <w:rFonts w:hint="eastAsia" w:ascii="仿宋_GB2312" w:hAnsi="仿宋_GB2312" w:eastAsia="仿宋_GB2312" w:cs="仿宋_GB2312"/>
          <w:sz w:val="32"/>
          <w:szCs w:val="32"/>
          <w:shd w:val="clear" w:color="auto" w:fill="FFFFFF"/>
        </w:rPr>
        <w:t>开发利用计划可行性</w:t>
      </w:r>
      <w:bookmarkEnd w:id="3"/>
    </w:p>
    <w:p>
      <w:pPr>
        <w:pStyle w:val="6"/>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项目建设规模、内容、投资额度、强度、开发资金有保障；开发期限及用地计划为202</w:t>
      </w:r>
      <w:r>
        <w:rPr>
          <w:rFonts w:hint="eastAsia" w:ascii="仿宋_GB2312" w:hAnsi="仿宋_GB2312" w:eastAsia="仿宋_GB2312" w:cs="仿宋_GB2312"/>
          <w:sz w:val="32"/>
          <w:szCs w:val="32"/>
          <w:shd w:val="clear" w:color="auto" w:fill="FFFFFF"/>
          <w:lang w:val="en-US" w:eastAsia="zh-CN"/>
        </w:rPr>
        <w:t>1</w:t>
      </w:r>
      <w:r>
        <w:rPr>
          <w:rFonts w:hint="eastAsia" w:ascii="仿宋_GB2312" w:hAnsi="仿宋_GB2312" w:eastAsia="仿宋_GB2312" w:cs="仿宋_GB2312"/>
          <w:sz w:val="32"/>
          <w:szCs w:val="32"/>
          <w:shd w:val="clear" w:color="auto" w:fill="FFFFFF"/>
        </w:rPr>
        <w:t>年，3年建设完毕；采取的节约集约用地措施可行。</w:t>
      </w:r>
    </w:p>
    <w:p>
      <w:pPr>
        <w:pStyle w:val="7"/>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4" w:name="_Toc55910587"/>
      <w:r>
        <w:rPr>
          <w:rFonts w:hint="eastAsia" w:ascii="仿宋_GB2312" w:hAnsi="仿宋_GB2312" w:eastAsia="仿宋_GB2312" w:cs="仿宋_GB2312"/>
          <w:sz w:val="32"/>
          <w:szCs w:val="32"/>
          <w:shd w:val="clear" w:color="auto" w:fill="FFFFFF"/>
        </w:rPr>
        <w:t>落实被征地群众安置补偿、维护群众利益的计划措施</w:t>
      </w:r>
      <w:bookmarkEnd w:id="4"/>
    </w:p>
    <w:p>
      <w:pPr>
        <w:pStyle w:val="6"/>
        <w:keepNext w:val="0"/>
        <w:keepLines w:val="0"/>
        <w:pageBreakBefore w:val="0"/>
        <w:kinsoku/>
        <w:wordWrap/>
        <w:overflowPunct/>
        <w:topLinePunct w:val="0"/>
        <w:autoSpaceDE/>
        <w:autoSpaceDN/>
        <w:bidi w:val="0"/>
        <w:adjustRightInd/>
        <w:snapToGrid/>
        <w:spacing w:line="500" w:lineRule="exact"/>
        <w:ind w:firstLine="56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rPr>
        <w:t>征地补偿标准依据</w:t>
      </w:r>
      <w:r>
        <w:rPr>
          <w:rFonts w:hint="eastAsia" w:ascii="仿宋_GB2312" w:hAnsi="仿宋_GB2312" w:eastAsia="仿宋_GB2312" w:cs="仿宋_GB2312"/>
          <w:sz w:val="32"/>
          <w:szCs w:val="32"/>
          <w:shd w:val="clear" w:color="auto" w:fill="FFFFFF"/>
          <w:lang w:val="en-US" w:eastAsia="zh-CN"/>
        </w:rPr>
        <w:t>平潭综合实验区</w:t>
      </w:r>
      <w:r>
        <w:rPr>
          <w:rFonts w:hint="eastAsia" w:ascii="仿宋_GB2312" w:hAnsi="仿宋_GB2312" w:eastAsia="仿宋_GB2312" w:cs="仿宋_GB2312"/>
          <w:sz w:val="32"/>
          <w:szCs w:val="32"/>
          <w:shd w:val="clear" w:color="auto" w:fill="FFFFFF"/>
        </w:rPr>
        <w:t>《平潭综合实验区管委会关于实施征地区片综合地价的通知》（岚综管综〔2017〕37号）</w:t>
      </w:r>
      <w:r>
        <w:rPr>
          <w:rFonts w:hint="eastAsia" w:ascii="仿宋_GB2312" w:hAnsi="仿宋_GB2312" w:eastAsia="仿宋_GB2312" w:cs="仿宋_GB2312"/>
          <w:sz w:val="32"/>
          <w:szCs w:val="32"/>
          <w:shd w:val="clear" w:color="auto" w:fill="FFFFFF"/>
          <w:lang w:eastAsia="zh-CN"/>
        </w:rPr>
        <w:t>和</w:t>
      </w:r>
      <w:r>
        <w:rPr>
          <w:rFonts w:hint="eastAsia" w:ascii="仿宋_GB2312" w:hAnsi="仿宋_GB2312" w:eastAsia="仿宋_GB2312" w:cs="仿宋_GB2312"/>
          <w:sz w:val="32"/>
          <w:szCs w:val="32"/>
          <w:shd w:val="clear" w:color="auto" w:fill="FFFFFF"/>
        </w:rPr>
        <w:t>《平潭综合实验区土地房屋征收补偿安置指导意见（暂行）2016版》标准等文件要求进行土地征收，</w:t>
      </w:r>
      <w:r>
        <w:rPr>
          <w:rFonts w:hint="eastAsia" w:ascii="仿宋_GB2312" w:hAnsi="仿宋_GB2312" w:eastAsia="仿宋_GB2312" w:cs="仿宋_GB2312"/>
          <w:sz w:val="32"/>
          <w:szCs w:val="32"/>
          <w:shd w:val="clear" w:color="auto" w:fill="FFFFFF"/>
          <w:lang w:val="en-US" w:eastAsia="zh-CN"/>
        </w:rPr>
        <w:t>需</w:t>
      </w:r>
      <w:r>
        <w:rPr>
          <w:rFonts w:hint="eastAsia" w:ascii="仿宋_GB2312" w:hAnsi="仿宋_GB2312" w:eastAsia="仿宋_GB2312" w:cs="仿宋_GB2312"/>
          <w:sz w:val="32"/>
          <w:szCs w:val="32"/>
          <w:shd w:val="clear" w:color="auto" w:fill="FFFFFF"/>
        </w:rPr>
        <w:t>取得集体经济组织成员的村民会议三分之二以上村民代表同意。</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kern w:val="0"/>
          <w:sz w:val="32"/>
          <w:szCs w:val="32"/>
          <w:shd w:val="clear" w:color="auto" w:fill="FFFFFF"/>
          <w:lang w:val="en-US" w:eastAsia="zh-CN" w:bidi="ar-SA"/>
        </w:rPr>
      </w:pPr>
      <w:r>
        <w:rPr>
          <w:rFonts w:hint="eastAsia" w:ascii="仿宋_GB2312" w:hAnsi="仿宋_GB2312" w:eastAsia="仿宋_GB2312" w:cs="仿宋_GB2312"/>
          <w:kern w:val="0"/>
          <w:sz w:val="32"/>
          <w:szCs w:val="32"/>
          <w:shd w:val="clear" w:color="auto" w:fill="FFFFFF"/>
          <w:lang w:val="en-US" w:eastAsia="zh-CN" w:bidi="ar-SA"/>
        </w:rPr>
        <w:t>征收土地涉及的平潭综合实验区自然资源与生态环境局将严格按规定履行征地报批前告知、现状调查及确认、听证、公告等程序。</w:t>
      </w:r>
    </w:p>
    <w:p>
      <w:pPr>
        <w:pStyle w:val="7"/>
        <w:keepNext w:val="0"/>
        <w:keepLines w:val="0"/>
        <w:pageBreakBefore w:val="0"/>
        <w:numPr>
          <w:ilvl w:val="0"/>
          <w:numId w:val="3"/>
        </w:numPr>
        <w:kinsoku/>
        <w:wordWrap/>
        <w:overflowPunct/>
        <w:topLinePunct w:val="0"/>
        <w:autoSpaceDE/>
        <w:autoSpaceDN/>
        <w:bidi w:val="0"/>
        <w:adjustRightInd/>
        <w:snapToGrid/>
        <w:spacing w:line="500" w:lineRule="exact"/>
        <w:textAlignment w:val="auto"/>
        <w:rPr>
          <w:rFonts w:hint="eastAsia" w:ascii="仿宋_GB2312" w:hAnsi="仿宋_GB2312" w:eastAsia="仿宋_GB2312" w:cs="仿宋_GB2312"/>
          <w:sz w:val="32"/>
          <w:szCs w:val="32"/>
          <w:shd w:val="clear" w:color="auto" w:fill="FFFFFF"/>
        </w:rPr>
      </w:pPr>
      <w:bookmarkStart w:id="5" w:name="_Toc55910588"/>
      <w:r>
        <w:rPr>
          <w:rFonts w:hint="eastAsia" w:ascii="仿宋_GB2312" w:hAnsi="仿宋_GB2312" w:eastAsia="仿宋_GB2312" w:cs="仿宋_GB2312"/>
          <w:sz w:val="32"/>
          <w:szCs w:val="32"/>
          <w:shd w:val="clear" w:color="auto" w:fill="FFFFFF"/>
        </w:rPr>
        <w:t>耕地占补平衡计划措施</w:t>
      </w:r>
      <w:bookmarkEnd w:id="5"/>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sz w:val="32"/>
          <w:szCs w:val="32"/>
          <w:shd w:val="clear" w:color="auto" w:fill="FFFFFF"/>
        </w:rPr>
      </w:pPr>
      <w:r>
        <w:rPr>
          <w:rFonts w:hint="eastAsia" w:ascii="仿宋_GB2312" w:hAnsi="仿宋_GB2312" w:eastAsia="仿宋_GB2312" w:cs="仿宋_GB2312"/>
          <w:sz w:val="32"/>
          <w:szCs w:val="32"/>
          <w:shd w:val="clear" w:color="auto" w:fill="FFFFFF"/>
          <w:lang w:eastAsia="zh-CN"/>
        </w:rPr>
        <w:t>“</w:t>
      </w:r>
      <w:r>
        <w:rPr>
          <w:rFonts w:hint="eastAsia" w:ascii="仿宋_GB2312" w:hAnsi="仿宋_GB2312" w:eastAsia="仿宋_GB2312" w:cs="仿宋_GB2312"/>
          <w:sz w:val="32"/>
          <w:szCs w:val="32"/>
          <w:shd w:val="clear" w:color="auto" w:fill="FFFFFF"/>
        </w:rPr>
        <w:t>成片开发</w:t>
      </w:r>
      <w:r>
        <w:rPr>
          <w:rFonts w:hint="eastAsia" w:ascii="仿宋_GB2312" w:hAnsi="仿宋_GB2312" w:eastAsia="仿宋_GB2312" w:cs="仿宋_GB2312"/>
          <w:sz w:val="32"/>
          <w:szCs w:val="32"/>
          <w:shd w:val="clear" w:color="auto" w:fill="FFFFFF"/>
          <w:lang w:eastAsia="zh-CN"/>
        </w:rPr>
        <w:t>”</w:t>
      </w:r>
      <w:r>
        <w:rPr>
          <w:rFonts w:hint="eastAsia" w:ascii="仿宋_GB2312" w:hAnsi="仿宋_GB2312" w:eastAsia="仿宋_GB2312" w:cs="仿宋_GB2312"/>
          <w:sz w:val="32"/>
          <w:szCs w:val="32"/>
          <w:shd w:val="clear" w:color="auto" w:fill="FFFFFF"/>
        </w:rPr>
        <w:t>建设方案用地总规模</w:t>
      </w:r>
      <w:r>
        <w:rPr>
          <w:rFonts w:hint="eastAsia" w:ascii="仿宋_GB2312" w:hAnsi="仿宋_GB2312" w:eastAsia="仿宋_GB2312" w:cs="仿宋_GB2312"/>
          <w:sz w:val="32"/>
          <w:szCs w:val="32"/>
          <w:shd w:val="clear" w:color="auto" w:fill="FFFFFF"/>
          <w:lang w:val="en-US" w:eastAsia="zh-CN"/>
        </w:rPr>
        <w:t>59.1935</w:t>
      </w:r>
      <w:r>
        <w:rPr>
          <w:rFonts w:hint="eastAsia" w:ascii="仿宋_GB2312" w:hAnsi="仿宋_GB2312" w:eastAsia="仿宋_GB2312" w:cs="仿宋_GB2312"/>
          <w:sz w:val="32"/>
          <w:szCs w:val="32"/>
          <w:shd w:val="clear" w:color="auto" w:fill="FFFFFF"/>
        </w:rPr>
        <w:t>公顷，其中耕地耕地面积</w:t>
      </w:r>
      <w:r>
        <w:rPr>
          <w:rFonts w:hint="eastAsia" w:ascii="仿宋_GB2312" w:hAnsi="仿宋_GB2312" w:eastAsia="仿宋_GB2312" w:cs="仿宋_GB2312"/>
          <w:b w:val="0"/>
          <w:bCs w:val="0"/>
          <w:color w:val="auto"/>
          <w:sz w:val="32"/>
          <w:szCs w:val="32"/>
          <w:shd w:val="clear" w:color="auto" w:fill="FFFFFF"/>
          <w:lang w:val="en-US" w:eastAsia="zh-CN"/>
        </w:rPr>
        <w:t>26.2026</w:t>
      </w:r>
      <w:r>
        <w:rPr>
          <w:rFonts w:hint="eastAsia" w:ascii="仿宋_GB2312" w:hAnsi="仿宋_GB2312" w:eastAsia="仿宋_GB2312" w:cs="仿宋_GB2312"/>
          <w:sz w:val="32"/>
          <w:szCs w:val="32"/>
          <w:shd w:val="clear" w:color="auto" w:fill="FFFFFF"/>
        </w:rPr>
        <w:t>公顷。耕地占补平衡方案由</w:t>
      </w:r>
      <w:r>
        <w:rPr>
          <w:rFonts w:hint="eastAsia" w:ascii="仿宋_GB2312" w:hAnsi="仿宋_GB2312" w:eastAsia="仿宋_GB2312" w:cs="仿宋_GB2312"/>
          <w:sz w:val="32"/>
          <w:szCs w:val="32"/>
          <w:shd w:val="clear" w:color="auto" w:fill="FFFFFF"/>
          <w:lang w:val="en-US" w:eastAsia="zh-CN"/>
        </w:rPr>
        <w:t>平潭综合实验区管委会</w:t>
      </w:r>
      <w:r>
        <w:rPr>
          <w:rFonts w:hint="eastAsia" w:ascii="仿宋_GB2312" w:hAnsi="仿宋_GB2312" w:eastAsia="仿宋_GB2312" w:cs="仿宋_GB2312"/>
          <w:sz w:val="32"/>
          <w:szCs w:val="32"/>
          <w:shd w:val="clear" w:color="auto" w:fill="FFFFFF"/>
        </w:rPr>
        <w:t>统筹安排，通过</w:t>
      </w:r>
      <w:r>
        <w:rPr>
          <w:rFonts w:hint="eastAsia" w:ascii="仿宋_GB2312" w:hAnsi="仿宋_GB2312" w:eastAsia="仿宋_GB2312" w:cs="仿宋_GB2312"/>
          <w:sz w:val="32"/>
          <w:szCs w:val="32"/>
          <w:shd w:val="clear" w:color="auto" w:fill="FFFFFF"/>
          <w:lang w:val="en-US" w:eastAsia="zh-CN"/>
        </w:rPr>
        <w:t>区</w:t>
      </w:r>
      <w:r>
        <w:rPr>
          <w:rFonts w:hint="eastAsia" w:ascii="仿宋_GB2312" w:hAnsi="仿宋_GB2312" w:eastAsia="仿宋_GB2312" w:cs="仿宋_GB2312"/>
          <w:sz w:val="32"/>
          <w:szCs w:val="32"/>
          <w:shd w:val="clear" w:color="auto" w:fill="FFFFFF"/>
        </w:rPr>
        <w:t>域内补充耕地来落实占补平衡。</w:t>
      </w:r>
    </w:p>
    <w:p>
      <w:pPr>
        <w:pStyle w:val="4"/>
        <w:keepNext w:val="0"/>
        <w:keepLines w:val="0"/>
        <w:pageBreakBefore w:val="0"/>
        <w:numPr>
          <w:ilvl w:val="0"/>
          <w:numId w:val="0"/>
        </w:numPr>
        <w:kinsoku/>
        <w:wordWrap/>
        <w:overflowPunct/>
        <w:topLinePunct w:val="0"/>
        <w:autoSpaceDE/>
        <w:autoSpaceDN/>
        <w:bidi w:val="0"/>
        <w:adjustRightInd/>
        <w:snapToGrid/>
        <w:spacing w:line="500" w:lineRule="exact"/>
        <w:ind w:left="426" w:leftChars="0" w:firstLine="321" w:firstLineChars="1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四、结论</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sz w:val="32"/>
          <w:szCs w:val="32"/>
          <w:shd w:val="clear" w:color="auto" w:fill="FFFFFF"/>
          <w:lang w:val="en-US" w:eastAsia="zh-CN"/>
        </w:rPr>
      </w:pPr>
      <w:bookmarkStart w:id="6" w:name="_GoBack"/>
      <w:bookmarkEnd w:id="6"/>
      <w:r>
        <w:rPr>
          <w:rFonts w:hint="eastAsia" w:ascii="仿宋_GB2312" w:hAnsi="仿宋_GB2312" w:eastAsia="仿宋_GB2312" w:cs="仿宋_GB2312"/>
          <w:sz w:val="32"/>
          <w:szCs w:val="32"/>
          <w:shd w:val="clear" w:color="auto" w:fill="FFFFFF"/>
        </w:rPr>
        <w:t>成片开发</w:t>
      </w:r>
      <w:r>
        <w:rPr>
          <w:rFonts w:hint="eastAsia" w:ascii="仿宋_GB2312" w:hAnsi="仿宋_GB2312" w:eastAsia="仿宋_GB2312" w:cs="仿宋_GB2312"/>
          <w:sz w:val="32"/>
          <w:szCs w:val="32"/>
          <w:shd w:val="clear" w:color="auto" w:fill="FFFFFF"/>
          <w:lang w:val="en-US" w:eastAsia="zh-CN"/>
        </w:rPr>
        <w:t>方案符合国家的有关法律法规和有关规定，符合土地利用总体规划、城市规划、不涉及占用永久基本农田和各类自然保护区、生态保护红线。</w:t>
      </w: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default" w:ascii="仿宋_GB2312" w:hAnsi="仿宋_GB2312" w:eastAsia="仿宋_GB2312" w:cs="仿宋_GB2312"/>
          <w:b w:val="0"/>
          <w:bCs w:val="0"/>
          <w:kern w:val="0"/>
          <w:sz w:val="32"/>
          <w:szCs w:val="32"/>
          <w:shd w:val="clear" w:color="auto" w:fill="FFFFFF"/>
          <w:lang w:val="en-US" w:eastAsia="zh-CN" w:bidi="ar-SA"/>
        </w:rPr>
      </w:pPr>
    </w:p>
    <w:p>
      <w:pPr>
        <w:keepNext w:val="0"/>
        <w:keepLines w:val="0"/>
        <w:pageBreakBefore w:val="0"/>
        <w:widowControl w:val="0"/>
        <w:kinsoku/>
        <w:wordWrap/>
        <w:overflowPunct/>
        <w:topLinePunct w:val="0"/>
        <w:autoSpaceDE/>
        <w:autoSpaceDN/>
        <w:bidi w:val="0"/>
        <w:adjustRightInd/>
        <w:snapToGrid/>
        <w:spacing w:line="500" w:lineRule="exact"/>
        <w:ind w:firstLine="640" w:firstLineChars="200"/>
        <w:textAlignment w:val="auto"/>
        <w:rPr>
          <w:rFonts w:hint="eastAsia" w:ascii="仿宋_GB2312" w:hAnsi="仿宋_GB2312" w:eastAsia="仿宋_GB2312" w:cs="仿宋_GB2312"/>
          <w:b w:val="0"/>
          <w:bCs w:val="0"/>
          <w:kern w:val="0"/>
          <w:sz w:val="32"/>
          <w:szCs w:val="32"/>
          <w:shd w:val="clear" w:color="auto" w:fill="FFFFFF"/>
          <w:lang w:val="en-US" w:eastAsia="zh-CN" w:bidi="ar-S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_GB2312">
    <w:altName w:val="楷体"/>
    <w:panose1 w:val="02010609030101010101"/>
    <w:charset w:val="86"/>
    <w:family w:val="modern"/>
    <w:pitch w:val="default"/>
    <w:sig w:usb0="00000000" w:usb1="00000000" w:usb2="00000000" w:usb3="00000000" w:csb0="00040000" w:csb1="00000000"/>
  </w:font>
  <w:font w:name="仿宋_GB2312">
    <w:altName w:val="仿宋"/>
    <w:panose1 w:val="02010609030101010101"/>
    <w:charset w:val="86"/>
    <w:family w:val="modern"/>
    <w:pitch w:val="default"/>
    <w:sig w:usb0="00000000" w:usb1="00000000" w:usb2="00000000" w:usb3="00000000" w:csb0="00040000" w:csb1="00000000"/>
  </w:font>
  <w:font w:name="方正小标宋简体">
    <w:altName w:val="Arial Unicode MS"/>
    <w:panose1 w:val="02010601030101010101"/>
    <w:charset w:val="86"/>
    <w:family w:val="auto"/>
    <w:pitch w:val="default"/>
    <w:sig w:usb0="00000000" w:usb1="00000000" w:usb2="00000000" w:usb3="00000000" w:csb0="00040000" w:csb1="00000000"/>
  </w:font>
  <w:font w:name="Arial Unicode MS">
    <w:panose1 w:val="020B0604020202020204"/>
    <w:charset w:val="86"/>
    <w:family w:val="auto"/>
    <w:pitch w:val="default"/>
    <w:sig w:usb0="FFFFFFFF" w:usb1="E9FFFFFF" w:usb2="0000003F" w:usb3="00000000" w:csb0="603F01FF" w:csb1="FFFF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8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multilevel"/>
    <w:tmpl w:val="00000001"/>
    <w:lvl w:ilvl="0" w:tentative="0">
      <w:start w:val="1"/>
      <w:numFmt w:val="chineseCountingThousand"/>
      <w:pStyle w:val="7"/>
      <w:lvlText w:val="(%1)"/>
      <w:lvlJc w:val="left"/>
      <w:pPr>
        <w:ind w:left="1022" w:hanging="420"/>
      </w:pPr>
      <w:rPr>
        <w:b/>
        <w:bCs w:val="0"/>
        <w:i w:val="0"/>
        <w:iCs w:val="0"/>
        <w:caps w:val="0"/>
        <w:smallCaps w:val="0"/>
        <w:vanish w:val="0"/>
        <w:spacing w:val="0"/>
        <w:position w:val="0"/>
        <w:u w:val="none"/>
        <w:vertAlign w:val="baseline"/>
      </w:rPr>
    </w:lvl>
    <w:lvl w:ilvl="1" w:tentative="0">
      <w:start w:val="1"/>
      <w:numFmt w:val="lowerLetter"/>
      <w:lvlText w:val="%2)"/>
      <w:lvlJc w:val="left"/>
      <w:pPr>
        <w:ind w:left="1442" w:hanging="420"/>
      </w:pPr>
    </w:lvl>
    <w:lvl w:ilvl="2" w:tentative="0">
      <w:start w:val="1"/>
      <w:numFmt w:val="lowerRoman"/>
      <w:lvlText w:val="%3."/>
      <w:lvlJc w:val="right"/>
      <w:pPr>
        <w:ind w:left="1862" w:hanging="420"/>
      </w:pPr>
    </w:lvl>
    <w:lvl w:ilvl="3" w:tentative="0">
      <w:start w:val="1"/>
      <w:numFmt w:val="decimal"/>
      <w:lvlText w:val="%4."/>
      <w:lvlJc w:val="left"/>
      <w:pPr>
        <w:ind w:left="2282" w:hanging="420"/>
      </w:pPr>
    </w:lvl>
    <w:lvl w:ilvl="4" w:tentative="0">
      <w:start w:val="1"/>
      <w:numFmt w:val="lowerLetter"/>
      <w:lvlText w:val="%5)"/>
      <w:lvlJc w:val="left"/>
      <w:pPr>
        <w:ind w:left="2702" w:hanging="420"/>
      </w:pPr>
    </w:lvl>
    <w:lvl w:ilvl="5" w:tentative="0">
      <w:start w:val="1"/>
      <w:numFmt w:val="lowerRoman"/>
      <w:lvlText w:val="%6."/>
      <w:lvlJc w:val="right"/>
      <w:pPr>
        <w:ind w:left="3122" w:hanging="420"/>
      </w:pPr>
    </w:lvl>
    <w:lvl w:ilvl="6" w:tentative="0">
      <w:start w:val="1"/>
      <w:numFmt w:val="decimal"/>
      <w:lvlText w:val="%7."/>
      <w:lvlJc w:val="left"/>
      <w:pPr>
        <w:ind w:left="3542" w:hanging="420"/>
      </w:pPr>
    </w:lvl>
    <w:lvl w:ilvl="7" w:tentative="0">
      <w:start w:val="1"/>
      <w:numFmt w:val="lowerLetter"/>
      <w:lvlText w:val="%8)"/>
      <w:lvlJc w:val="left"/>
      <w:pPr>
        <w:ind w:left="3962" w:hanging="420"/>
      </w:pPr>
    </w:lvl>
    <w:lvl w:ilvl="8" w:tentative="0">
      <w:start w:val="1"/>
      <w:numFmt w:val="lowerRoman"/>
      <w:lvlText w:val="%9."/>
      <w:lvlJc w:val="right"/>
      <w:pPr>
        <w:ind w:left="4382" w:hanging="420"/>
      </w:pPr>
    </w:lvl>
  </w:abstractNum>
  <w:abstractNum w:abstractNumId="1">
    <w:nsid w:val="00000002"/>
    <w:multiLevelType w:val="multilevel"/>
    <w:tmpl w:val="00000002"/>
    <w:lvl w:ilvl="0" w:tentative="0">
      <w:start w:val="1"/>
      <w:numFmt w:val="decimal"/>
      <w:pStyle w:val="5"/>
      <w:suff w:val="nothing"/>
      <w:lvlText w:val="%1."/>
      <w:lvlJc w:val="left"/>
      <w:pPr>
        <w:ind w:left="1022" w:hanging="420"/>
      </w:pPr>
      <w:rPr>
        <w:rFonts w:hint="eastAsia"/>
      </w:rPr>
    </w:lvl>
    <w:lvl w:ilvl="1" w:tentative="0">
      <w:start w:val="1"/>
      <w:numFmt w:val="lowerLetter"/>
      <w:lvlText w:val="%2)"/>
      <w:lvlJc w:val="left"/>
      <w:pPr>
        <w:ind w:left="727" w:hanging="420"/>
      </w:pPr>
    </w:lvl>
    <w:lvl w:ilvl="2" w:tentative="0">
      <w:start w:val="1"/>
      <w:numFmt w:val="lowerRoman"/>
      <w:lvlText w:val="%3."/>
      <w:lvlJc w:val="right"/>
      <w:pPr>
        <w:ind w:left="1147" w:hanging="420"/>
      </w:pPr>
    </w:lvl>
    <w:lvl w:ilvl="3" w:tentative="0">
      <w:start w:val="1"/>
      <w:numFmt w:val="decimal"/>
      <w:lvlText w:val="%4."/>
      <w:lvlJc w:val="left"/>
      <w:pPr>
        <w:ind w:left="1567" w:hanging="420"/>
      </w:pPr>
    </w:lvl>
    <w:lvl w:ilvl="4" w:tentative="0">
      <w:start w:val="1"/>
      <w:numFmt w:val="lowerLetter"/>
      <w:lvlText w:val="%5)"/>
      <w:lvlJc w:val="left"/>
      <w:pPr>
        <w:ind w:left="1987" w:hanging="420"/>
      </w:pPr>
    </w:lvl>
    <w:lvl w:ilvl="5" w:tentative="0">
      <w:start w:val="1"/>
      <w:numFmt w:val="lowerRoman"/>
      <w:lvlText w:val="%6."/>
      <w:lvlJc w:val="right"/>
      <w:pPr>
        <w:ind w:left="2407" w:hanging="420"/>
      </w:pPr>
    </w:lvl>
    <w:lvl w:ilvl="6" w:tentative="0">
      <w:start w:val="1"/>
      <w:numFmt w:val="decimal"/>
      <w:lvlText w:val="%7."/>
      <w:lvlJc w:val="left"/>
      <w:pPr>
        <w:ind w:left="2827" w:hanging="420"/>
      </w:pPr>
    </w:lvl>
    <w:lvl w:ilvl="7" w:tentative="0">
      <w:start w:val="1"/>
      <w:numFmt w:val="lowerLetter"/>
      <w:lvlText w:val="%8)"/>
      <w:lvlJc w:val="left"/>
      <w:pPr>
        <w:ind w:left="3247" w:hanging="420"/>
      </w:pPr>
    </w:lvl>
    <w:lvl w:ilvl="8" w:tentative="0">
      <w:start w:val="1"/>
      <w:numFmt w:val="lowerRoman"/>
      <w:lvlText w:val="%9."/>
      <w:lvlJc w:val="right"/>
      <w:pPr>
        <w:ind w:left="3667" w:hanging="420"/>
      </w:pPr>
    </w:lvl>
  </w:abstractNum>
  <w:abstractNum w:abstractNumId="2">
    <w:nsid w:val="00000003"/>
    <w:multiLevelType w:val="multilevel"/>
    <w:tmpl w:val="00000003"/>
    <w:lvl w:ilvl="0" w:tentative="0">
      <w:start w:val="1"/>
      <w:numFmt w:val="chineseCountingThousand"/>
      <w:pStyle w:val="4"/>
      <w:suff w:val="nothing"/>
      <w:lvlText w:val="%1、"/>
      <w:lvlJc w:val="left"/>
      <w:pPr>
        <w:ind w:left="846" w:hanging="420"/>
      </w:pPr>
      <w:rPr>
        <w:rFonts w:hint="eastAsia"/>
        <w:b/>
        <w:bCs w:val="0"/>
        <w:i w:val="0"/>
        <w:iCs w:val="0"/>
        <w:caps w:val="0"/>
        <w:smallCaps w:val="0"/>
        <w:vanish w:val="0"/>
        <w:spacing w:val="0"/>
        <w:position w:val="0"/>
        <w:u w:val="none"/>
        <w:vertAlign w:val="baseline"/>
        <w:lang w:val="en-US"/>
      </w:rPr>
    </w:lvl>
    <w:lvl w:ilvl="1" w:tentative="0">
      <w:start w:val="1"/>
      <w:numFmt w:val="lowerLetter"/>
      <w:lvlText w:val="%2)"/>
      <w:lvlJc w:val="left"/>
      <w:pPr>
        <w:ind w:left="1266" w:hanging="420"/>
      </w:pPr>
    </w:lvl>
    <w:lvl w:ilvl="2" w:tentative="0">
      <w:start w:val="1"/>
      <w:numFmt w:val="lowerRoman"/>
      <w:lvlText w:val="%3."/>
      <w:lvlJc w:val="right"/>
      <w:pPr>
        <w:ind w:left="1686" w:hanging="420"/>
      </w:pPr>
    </w:lvl>
    <w:lvl w:ilvl="3" w:tentative="0">
      <w:start w:val="1"/>
      <w:numFmt w:val="decimal"/>
      <w:lvlText w:val="%4."/>
      <w:lvlJc w:val="left"/>
      <w:pPr>
        <w:ind w:left="2106" w:hanging="420"/>
      </w:pPr>
    </w:lvl>
    <w:lvl w:ilvl="4" w:tentative="0">
      <w:start w:val="1"/>
      <w:numFmt w:val="lowerLetter"/>
      <w:lvlText w:val="%5)"/>
      <w:lvlJc w:val="left"/>
      <w:pPr>
        <w:ind w:left="2526" w:hanging="420"/>
      </w:pPr>
    </w:lvl>
    <w:lvl w:ilvl="5" w:tentative="0">
      <w:start w:val="1"/>
      <w:numFmt w:val="lowerRoman"/>
      <w:lvlText w:val="%6."/>
      <w:lvlJc w:val="right"/>
      <w:pPr>
        <w:ind w:left="2946" w:hanging="420"/>
      </w:pPr>
    </w:lvl>
    <w:lvl w:ilvl="6" w:tentative="0">
      <w:start w:val="1"/>
      <w:numFmt w:val="decimal"/>
      <w:lvlText w:val="%7."/>
      <w:lvlJc w:val="left"/>
      <w:pPr>
        <w:ind w:left="3366" w:hanging="420"/>
      </w:pPr>
    </w:lvl>
    <w:lvl w:ilvl="7" w:tentative="0">
      <w:start w:val="1"/>
      <w:numFmt w:val="lowerLetter"/>
      <w:lvlText w:val="%8)"/>
      <w:lvlJc w:val="left"/>
      <w:pPr>
        <w:ind w:left="3786" w:hanging="420"/>
      </w:pPr>
    </w:lvl>
    <w:lvl w:ilvl="8" w:tentative="0">
      <w:start w:val="1"/>
      <w:numFmt w:val="lowerRoman"/>
      <w:lvlText w:val="%9."/>
      <w:lvlJc w:val="right"/>
      <w:pPr>
        <w:ind w:left="4206" w:hanging="420"/>
      </w:pPr>
    </w:lvl>
  </w:abstractNum>
  <w:num w:numId="1">
    <w:abstractNumId w:val="2"/>
  </w:num>
  <w:num w:numId="2">
    <w:abstractNumId w:val="1"/>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C2F4A58"/>
    <w:rsid w:val="08231259"/>
    <w:rsid w:val="0F9C2FB2"/>
    <w:rsid w:val="6C2F4A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等线" w:hAnsi="等线" w:eastAsia="等线" w:cs="宋体"/>
      <w:kern w:val="2"/>
      <w:sz w:val="21"/>
      <w:szCs w:val="22"/>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Layout w:type="fixed"/>
      <w:tblCellMar>
        <w:top w:w="0" w:type="dxa"/>
        <w:left w:w="108" w:type="dxa"/>
        <w:bottom w:w="0" w:type="dxa"/>
        <w:right w:w="108" w:type="dxa"/>
      </w:tblCellMar>
    </w:tblPr>
  </w:style>
  <w:style w:type="paragraph" w:customStyle="1" w:styleId="4">
    <w:name w:val="三调标题1"/>
    <w:qFormat/>
    <w:uiPriority w:val="0"/>
    <w:pPr>
      <w:numPr>
        <w:ilvl w:val="0"/>
        <w:numId w:val="1"/>
      </w:numPr>
      <w:spacing w:line="500" w:lineRule="exact"/>
      <w:outlineLvl w:val="0"/>
    </w:pPr>
    <w:rPr>
      <w:rFonts w:ascii="宋体" w:hAnsi="宋体" w:eastAsia="宋体" w:cs="楷体_GB2312"/>
      <w:b/>
      <w:bCs/>
      <w:kern w:val="2"/>
      <w:sz w:val="32"/>
      <w:szCs w:val="32"/>
      <w:lang w:val="en-US" w:eastAsia="zh-CN" w:bidi="ar-SA"/>
    </w:rPr>
  </w:style>
  <w:style w:type="paragraph" w:customStyle="1" w:styleId="5">
    <w:name w:val="三调标题3"/>
    <w:qFormat/>
    <w:uiPriority w:val="0"/>
    <w:pPr>
      <w:numPr>
        <w:ilvl w:val="0"/>
        <w:numId w:val="2"/>
      </w:numPr>
      <w:spacing w:line="500" w:lineRule="exact"/>
      <w:outlineLvl w:val="2"/>
    </w:pPr>
    <w:rPr>
      <w:rFonts w:ascii="宋体" w:hAnsi="宋体" w:eastAsia="宋体" w:cs="仿宋_GB2312"/>
      <w:b/>
      <w:kern w:val="2"/>
      <w:sz w:val="28"/>
      <w:szCs w:val="28"/>
      <w:lang w:val="en-US" w:eastAsia="zh-CN" w:bidi="ar-SA"/>
    </w:rPr>
  </w:style>
  <w:style w:type="paragraph" w:customStyle="1" w:styleId="6">
    <w:name w:val="三调正文"/>
    <w:qFormat/>
    <w:uiPriority w:val="0"/>
    <w:pPr>
      <w:spacing w:line="500" w:lineRule="exact"/>
      <w:ind w:firstLine="200" w:firstLineChars="200"/>
    </w:pPr>
    <w:rPr>
      <w:rFonts w:ascii="宋体" w:hAnsi="宋体" w:eastAsia="宋体" w:cs="仿宋_GB2312"/>
      <w:sz w:val="28"/>
      <w:szCs w:val="28"/>
      <w:lang w:val="en-US" w:eastAsia="zh-CN" w:bidi="ar-SA"/>
    </w:rPr>
  </w:style>
  <w:style w:type="paragraph" w:customStyle="1" w:styleId="7">
    <w:name w:val="三调标题2"/>
    <w:qFormat/>
    <w:uiPriority w:val="0"/>
    <w:pPr>
      <w:numPr>
        <w:ilvl w:val="0"/>
        <w:numId w:val="3"/>
      </w:numPr>
      <w:spacing w:line="500" w:lineRule="exact"/>
      <w:outlineLvl w:val="1"/>
    </w:pPr>
    <w:rPr>
      <w:rFonts w:ascii="宋体" w:hAnsi="宋体" w:eastAsia="宋体" w:cs="仿宋_GB2312"/>
      <w:b/>
      <w:color w:val="000000"/>
      <w:kern w:val="2"/>
      <w:sz w:val="30"/>
      <w:szCs w:val="30"/>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Office_11.1.0.9021_F1E327BC-269C-435d-A152-05C5408002CA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2021-01-14T02:07:00Z</dcterms:created>
  <dc:creator>puppy</dc:creator>
  <cp:lastModifiedBy>Administrator</cp:lastModifiedBy>
  <dcterms:modified xsi:type="dcterms:W3CDTF">2021-01-27T02:37:37Z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2052-11.1.0.9021</vt:lpwstr>
  </property>
</Properties>
</file>