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spacing w:before="0" w:line="266" w:lineRule="auto"/>
        <w:ind w:leftChars="0" w:right="60" w:rightChars="0"/>
        <w:jc w:val="center"/>
        <w:rPr>
          <w:rFonts w:hint="eastAsia" w:ascii="方正小标宋简体" w:hAnsi="方正小标宋简体" w:eastAsia="方正小标宋简体" w:cs="方正小标宋简体"/>
          <w:spacing w:val="0"/>
          <w:sz w:val="44"/>
          <w:szCs w:val="44"/>
          <w:lang w:val="en-US" w:eastAsia="zh-CN"/>
        </w:rPr>
      </w:pPr>
    </w:p>
    <w:p>
      <w:pPr>
        <w:numPr>
          <w:ilvl w:val="0"/>
          <w:numId w:val="0"/>
        </w:numPr>
        <w:spacing w:before="0" w:line="266" w:lineRule="auto"/>
        <w:ind w:leftChars="0" w:right="60" w:rightChars="0"/>
        <w:jc w:val="center"/>
        <w:rPr>
          <w:rFonts w:hint="eastAsia" w:ascii="方正小标宋简体" w:hAnsi="方正小标宋简体" w:eastAsia="方正小标宋简体" w:cs="方正小标宋简体"/>
          <w:spacing w:val="0"/>
          <w:sz w:val="44"/>
          <w:szCs w:val="44"/>
          <w:lang w:val="en-US" w:eastAsia="zh-CN"/>
        </w:rPr>
      </w:pPr>
    </w:p>
    <w:p>
      <w:pPr>
        <w:numPr>
          <w:ilvl w:val="0"/>
          <w:numId w:val="0"/>
        </w:numPr>
        <w:spacing w:before="0" w:line="266" w:lineRule="auto"/>
        <w:ind w:leftChars="0" w:right="60" w:rightChars="0"/>
        <w:jc w:val="center"/>
        <w:rPr>
          <w:rFonts w:hint="eastAsia" w:ascii="方正小标宋简体" w:hAnsi="方正小标宋简体" w:eastAsia="方正小标宋简体" w:cs="方正小标宋简体"/>
          <w:spacing w:val="0"/>
          <w:sz w:val="44"/>
          <w:szCs w:val="44"/>
          <w:lang w:val="en-US" w:eastAsia="zh-CN"/>
        </w:rPr>
      </w:pPr>
      <w:r>
        <w:rPr>
          <w:rFonts w:hint="eastAsia" w:ascii="方正小标宋简体" w:hAnsi="方正小标宋简体" w:eastAsia="方正小标宋简体" w:cs="方正小标宋简体"/>
          <w:spacing w:val="0"/>
          <w:sz w:val="44"/>
          <w:szCs w:val="44"/>
          <w:lang w:val="en-US" w:eastAsia="zh-CN"/>
        </w:rPr>
        <w:t>平潭综合实验区自然资源服务中心</w:t>
      </w:r>
    </w:p>
    <w:p>
      <w:pPr>
        <w:spacing w:before="0" w:line="266" w:lineRule="auto"/>
        <w:ind w:right="60" w:rightChars="0"/>
        <w:jc w:val="center"/>
        <w:rPr>
          <w:rFonts w:hint="eastAsia" w:ascii="方正小标宋简体" w:hAnsi="方正小标宋简体" w:eastAsia="方正小标宋简体" w:cs="方正小标宋简体"/>
          <w:spacing w:val="0"/>
          <w:sz w:val="44"/>
          <w:szCs w:val="44"/>
          <w:lang w:eastAsia="zh-CN"/>
        </w:rPr>
      </w:pPr>
      <w:r>
        <w:rPr>
          <w:rFonts w:hint="eastAsia" w:ascii="方正小标宋简体" w:hAnsi="方正小标宋简体" w:eastAsia="方正小标宋简体" w:cs="方正小标宋简体"/>
          <w:spacing w:val="0"/>
          <w:sz w:val="44"/>
          <w:szCs w:val="44"/>
          <w:lang w:val="en-US" w:eastAsia="zh-CN"/>
        </w:rPr>
        <w:t>房屋</w:t>
      </w:r>
      <w:r>
        <w:rPr>
          <w:rFonts w:hint="eastAsia" w:ascii="方正小标宋简体" w:hAnsi="方正小标宋简体" w:eastAsia="方正小标宋简体" w:cs="方正小标宋简体"/>
          <w:spacing w:val="0"/>
          <w:sz w:val="44"/>
          <w:szCs w:val="44"/>
        </w:rPr>
        <w:t>拆除工程招标文件</w:t>
      </w:r>
    </w:p>
    <w:p>
      <w:pPr>
        <w:spacing w:before="0" w:line="266" w:lineRule="auto"/>
        <w:ind w:right="60" w:rightChars="0"/>
        <w:jc w:val="center"/>
        <w:rPr>
          <w:rFonts w:hint="eastAsia" w:ascii="方正小标宋简体" w:hAnsi="方正小标宋简体" w:eastAsia="方正小标宋简体" w:cs="方正小标宋简体"/>
          <w:spacing w:val="0"/>
          <w:sz w:val="44"/>
          <w:szCs w:val="44"/>
          <w:lang w:val="en-US" w:eastAsia="zh-CN"/>
        </w:rPr>
      </w:pPr>
    </w:p>
    <w:p>
      <w:pPr>
        <w:spacing w:before="0" w:line="266" w:lineRule="auto"/>
        <w:ind w:right="60" w:rightChars="0"/>
        <w:jc w:val="center"/>
        <w:rPr>
          <w:rFonts w:hint="eastAsia" w:ascii="方正小标宋简体" w:hAnsi="方正小标宋简体" w:eastAsia="方正小标宋简体" w:cs="方正小标宋简体"/>
          <w:spacing w:val="0"/>
          <w:sz w:val="44"/>
          <w:szCs w:val="44"/>
          <w:lang w:val="en-US" w:eastAsia="zh-CN"/>
        </w:rPr>
      </w:pPr>
    </w:p>
    <w:p>
      <w:pPr>
        <w:spacing w:before="0" w:line="266" w:lineRule="auto"/>
        <w:ind w:right="60" w:rightChars="0"/>
        <w:jc w:val="center"/>
        <w:rPr>
          <w:rFonts w:hint="eastAsia" w:ascii="方正小标宋简体" w:hAnsi="方正小标宋简体" w:eastAsia="方正小标宋简体" w:cs="方正小标宋简体"/>
          <w:spacing w:val="0"/>
          <w:sz w:val="44"/>
          <w:szCs w:val="44"/>
          <w:lang w:val="en-US" w:eastAsia="zh-CN"/>
        </w:rPr>
      </w:pPr>
    </w:p>
    <w:p>
      <w:pPr>
        <w:spacing w:before="0" w:line="266" w:lineRule="auto"/>
        <w:ind w:right="60" w:rightChars="0"/>
        <w:jc w:val="center"/>
        <w:rPr>
          <w:rFonts w:hint="eastAsia" w:ascii="方正小标宋简体" w:hAnsi="方正小标宋简体" w:eastAsia="方正小标宋简体" w:cs="方正小标宋简体"/>
          <w:spacing w:val="0"/>
          <w:sz w:val="44"/>
          <w:szCs w:val="44"/>
          <w:lang w:val="en-US" w:eastAsia="zh-CN"/>
        </w:rPr>
      </w:pPr>
    </w:p>
    <w:p>
      <w:pPr>
        <w:spacing w:before="0" w:line="266" w:lineRule="auto"/>
        <w:ind w:right="60" w:rightChars="0"/>
        <w:jc w:val="center"/>
        <w:rPr>
          <w:rFonts w:hint="eastAsia" w:ascii="方正小标宋简体" w:hAnsi="方正小标宋简体" w:eastAsia="方正小标宋简体" w:cs="方正小标宋简体"/>
          <w:spacing w:val="0"/>
          <w:sz w:val="44"/>
          <w:szCs w:val="44"/>
          <w:lang w:val="en-US" w:eastAsia="zh-CN"/>
        </w:rPr>
      </w:pPr>
    </w:p>
    <w:p>
      <w:pPr>
        <w:spacing w:before="0" w:line="266" w:lineRule="auto"/>
        <w:ind w:right="60" w:rightChars="0"/>
        <w:jc w:val="center"/>
        <w:rPr>
          <w:rFonts w:hint="eastAsia" w:ascii="方正小标宋简体" w:hAnsi="方正小标宋简体" w:eastAsia="方正小标宋简体" w:cs="方正小标宋简体"/>
          <w:spacing w:val="0"/>
          <w:sz w:val="44"/>
          <w:szCs w:val="44"/>
          <w:lang w:val="en-US" w:eastAsia="zh-CN"/>
        </w:rPr>
      </w:pPr>
    </w:p>
    <w:p>
      <w:pPr>
        <w:spacing w:before="0" w:line="266" w:lineRule="auto"/>
        <w:ind w:right="60" w:rightChars="0"/>
        <w:jc w:val="center"/>
        <w:rPr>
          <w:rFonts w:hint="eastAsia" w:ascii="方正小标宋简体" w:hAnsi="方正小标宋简体" w:eastAsia="方正小标宋简体" w:cs="方正小标宋简体"/>
          <w:spacing w:val="0"/>
          <w:sz w:val="44"/>
          <w:szCs w:val="44"/>
          <w:lang w:val="en-US" w:eastAsia="zh-CN"/>
        </w:rPr>
      </w:pPr>
    </w:p>
    <w:p>
      <w:pPr>
        <w:spacing w:before="0" w:line="266" w:lineRule="auto"/>
        <w:ind w:right="60" w:rightChars="0"/>
        <w:jc w:val="center"/>
        <w:rPr>
          <w:rFonts w:hint="eastAsia" w:ascii="方正小标宋简体" w:hAnsi="方正小标宋简体" w:eastAsia="方正小标宋简体" w:cs="方正小标宋简体"/>
          <w:spacing w:val="0"/>
          <w:sz w:val="44"/>
          <w:szCs w:val="44"/>
          <w:lang w:val="en-US" w:eastAsia="zh-CN"/>
        </w:rPr>
      </w:pPr>
    </w:p>
    <w:p>
      <w:pPr>
        <w:spacing w:before="0" w:line="266" w:lineRule="auto"/>
        <w:ind w:right="60" w:rightChars="0"/>
        <w:jc w:val="center"/>
        <w:rPr>
          <w:rFonts w:hint="eastAsia" w:ascii="方正小标宋简体" w:hAnsi="方正小标宋简体" w:eastAsia="方正小标宋简体" w:cs="方正小标宋简体"/>
          <w:spacing w:val="0"/>
          <w:sz w:val="44"/>
          <w:szCs w:val="44"/>
          <w:lang w:val="en-US" w:eastAsia="zh-CN"/>
        </w:rPr>
      </w:pPr>
    </w:p>
    <w:p>
      <w:pPr>
        <w:spacing w:before="0" w:line="266" w:lineRule="auto"/>
        <w:ind w:right="60" w:rightChars="0"/>
        <w:jc w:val="center"/>
        <w:rPr>
          <w:rFonts w:hint="eastAsia" w:ascii="方正小标宋简体" w:hAnsi="方正小标宋简体" w:eastAsia="方正小标宋简体" w:cs="方正小标宋简体"/>
          <w:spacing w:val="0"/>
          <w:sz w:val="44"/>
          <w:szCs w:val="44"/>
          <w:lang w:val="en-US" w:eastAsia="zh-CN"/>
        </w:rPr>
      </w:pPr>
    </w:p>
    <w:p>
      <w:pPr>
        <w:spacing w:before="0" w:line="266" w:lineRule="auto"/>
        <w:ind w:right="60" w:rightChars="0"/>
        <w:jc w:val="center"/>
        <w:rPr>
          <w:rFonts w:hint="eastAsia" w:ascii="方正小标宋简体" w:hAnsi="方正小标宋简体" w:eastAsia="方正小标宋简体" w:cs="方正小标宋简体"/>
          <w:spacing w:val="0"/>
          <w:sz w:val="44"/>
          <w:szCs w:val="44"/>
          <w:lang w:val="en-US" w:eastAsia="zh-CN"/>
        </w:rPr>
      </w:pPr>
    </w:p>
    <w:p>
      <w:pPr>
        <w:spacing w:before="0" w:line="266" w:lineRule="auto"/>
        <w:ind w:right="60" w:rightChars="0"/>
        <w:jc w:val="center"/>
        <w:rPr>
          <w:rFonts w:hint="eastAsia" w:ascii="方正小标宋简体" w:hAnsi="方正小标宋简体" w:eastAsia="方正小标宋简体" w:cs="方正小标宋简体"/>
          <w:spacing w:val="0"/>
          <w:sz w:val="44"/>
          <w:szCs w:val="44"/>
          <w:lang w:val="en-US" w:eastAsia="zh-CN"/>
        </w:rPr>
      </w:pPr>
    </w:p>
    <w:p>
      <w:pPr>
        <w:numPr>
          <w:ilvl w:val="0"/>
          <w:numId w:val="0"/>
        </w:numPr>
        <w:spacing w:before="0" w:line="266" w:lineRule="auto"/>
        <w:ind w:leftChars="0" w:right="60" w:rightChars="0" w:firstLine="960" w:firstLineChars="300"/>
        <w:jc w:val="left"/>
        <w:rPr>
          <w:rFonts w:hint="eastAsia" w:ascii="楷体" w:hAnsi="楷体" w:eastAsia="楷体" w:cs="楷体"/>
          <w:spacing w:val="0"/>
          <w:sz w:val="32"/>
          <w:szCs w:val="32"/>
          <w:u w:val="single"/>
          <w:lang w:val="en-US" w:eastAsia="zh-CN"/>
        </w:rPr>
      </w:pPr>
      <w:r>
        <w:rPr>
          <w:rFonts w:hint="eastAsia" w:ascii="楷体" w:hAnsi="楷体" w:eastAsia="楷体" w:cs="楷体"/>
          <w:spacing w:val="0"/>
          <w:sz w:val="32"/>
          <w:szCs w:val="32"/>
          <w:lang w:val="en-US" w:eastAsia="zh-CN"/>
        </w:rPr>
        <w:t>招标单位：</w:t>
      </w:r>
      <w:r>
        <w:rPr>
          <w:rFonts w:hint="eastAsia" w:ascii="楷体" w:hAnsi="楷体" w:eastAsia="楷体" w:cs="楷体"/>
          <w:spacing w:val="0"/>
          <w:sz w:val="32"/>
          <w:szCs w:val="32"/>
          <w:u w:val="single"/>
          <w:lang w:val="en-US" w:eastAsia="zh-CN"/>
        </w:rPr>
        <w:t>平潭综合实验区自然资源服务中心</w:t>
      </w:r>
    </w:p>
    <w:p>
      <w:pPr>
        <w:numPr>
          <w:ilvl w:val="0"/>
          <w:numId w:val="0"/>
        </w:numPr>
        <w:spacing w:before="0" w:line="266" w:lineRule="auto"/>
        <w:ind w:leftChars="0" w:right="60" w:rightChars="0" w:firstLine="960" w:firstLineChars="300"/>
        <w:jc w:val="left"/>
        <w:rPr>
          <w:rFonts w:hint="default" w:ascii="楷体" w:hAnsi="楷体" w:eastAsia="楷体" w:cs="楷体"/>
          <w:spacing w:val="0"/>
          <w:sz w:val="32"/>
          <w:szCs w:val="32"/>
          <w:u w:val="single"/>
          <w:lang w:val="en-US" w:eastAsia="zh-CN"/>
        </w:rPr>
      </w:pPr>
      <w:r>
        <w:rPr>
          <w:rFonts w:hint="eastAsia" w:ascii="楷体" w:hAnsi="楷体" w:eastAsia="楷体" w:cs="楷体"/>
          <w:spacing w:val="0"/>
          <w:sz w:val="32"/>
          <w:szCs w:val="32"/>
          <w:lang w:val="en-US" w:eastAsia="zh-CN"/>
        </w:rPr>
        <w:t>招标时间：</w:t>
      </w:r>
      <w:r>
        <w:rPr>
          <w:rFonts w:hint="eastAsia" w:ascii="楷体" w:hAnsi="楷体" w:eastAsia="楷体" w:cs="楷体"/>
          <w:spacing w:val="0"/>
          <w:sz w:val="32"/>
          <w:szCs w:val="32"/>
          <w:u w:val="single"/>
          <w:lang w:val="en-US" w:eastAsia="zh-CN"/>
        </w:rPr>
        <w:t xml:space="preserve">          2021年5月7日        </w:t>
      </w:r>
    </w:p>
    <w:p>
      <w:pPr>
        <w:spacing w:before="0" w:line="266" w:lineRule="auto"/>
        <w:ind w:right="60" w:rightChars="0"/>
        <w:jc w:val="left"/>
        <w:rPr>
          <w:rFonts w:hint="eastAsia" w:ascii="楷体" w:hAnsi="楷体" w:eastAsia="楷体" w:cs="楷体"/>
          <w:spacing w:val="0"/>
          <w:sz w:val="32"/>
          <w:szCs w:val="32"/>
          <w:u w:val="single"/>
          <w:lang w:val="en-US" w:eastAsia="zh-CN"/>
        </w:rPr>
        <w:sectPr>
          <w:pgSz w:w="11906" w:h="16838"/>
          <w:pgMar w:top="1440" w:right="1800" w:bottom="1440" w:left="1800" w:header="720" w:footer="720" w:gutter="0"/>
          <w:cols w:space="720" w:num="1"/>
        </w:sectPr>
      </w:pP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600" w:lineRule="exact"/>
        <w:ind w:leftChars="0" w:right="759" w:rightChars="0"/>
        <w:jc w:val="center"/>
        <w:textAlignment w:val="auto"/>
        <w:rPr>
          <w:rFonts w:hint="eastAsia" w:ascii="黑体" w:hAnsi="黑体" w:eastAsia="黑体" w:cs="黑体"/>
          <w:spacing w:val="0"/>
          <w:sz w:val="36"/>
          <w:szCs w:val="36"/>
        </w:rPr>
      </w:pPr>
      <w:r>
        <w:rPr>
          <w:rFonts w:hint="eastAsia" w:ascii="黑体" w:hAnsi="黑体" w:eastAsia="黑体" w:cs="黑体"/>
          <w:spacing w:val="0"/>
          <w:sz w:val="36"/>
          <w:szCs w:val="36"/>
        </w:rPr>
        <w:t>投标须知</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240" w:lineRule="auto"/>
        <w:ind w:leftChars="0" w:right="759" w:rightChars="0"/>
        <w:textAlignment w:val="auto"/>
        <w:rPr>
          <w:rFonts w:hint="eastAsia" w:ascii="楷体" w:hAnsi="楷体" w:eastAsia="楷体" w:cs="楷体"/>
          <w:spacing w:val="0"/>
        </w:rPr>
      </w:pPr>
      <w:r>
        <w:rPr>
          <w:rFonts w:hint="eastAsia" w:ascii="楷体" w:hAnsi="楷体" w:eastAsia="楷体" w:cs="楷体"/>
          <w:spacing w:val="0"/>
          <w:lang w:val="en-US" w:eastAsia="zh-CN"/>
        </w:rPr>
        <w:t>一、项目</w:t>
      </w:r>
      <w:r>
        <w:rPr>
          <w:rFonts w:hint="eastAsia" w:ascii="楷体" w:hAnsi="楷体" w:eastAsia="楷体" w:cs="楷体"/>
          <w:spacing w:val="0"/>
        </w:rPr>
        <w:t>名称</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240" w:lineRule="auto"/>
        <w:ind w:leftChars="0" w:right="759" w:rightChars="0"/>
        <w:textAlignment w:val="auto"/>
        <w:rPr>
          <w:rFonts w:hint="eastAsia" w:ascii="仿宋_GB2312" w:hAnsi="仿宋_GB2312" w:eastAsia="仿宋_GB2312" w:cs="仿宋_GB2312"/>
          <w:spacing w:val="0"/>
        </w:rPr>
      </w:pPr>
      <w:r>
        <w:rPr>
          <w:rFonts w:hint="eastAsia" w:ascii="仿宋_GB2312" w:hAnsi="仿宋_GB2312" w:eastAsia="仿宋_GB2312" w:cs="仿宋_GB2312"/>
          <w:spacing w:val="0"/>
        </w:rPr>
        <w:t>平潭综合实验区自然资源服务中心房屋拆除工程</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240" w:lineRule="auto"/>
        <w:ind w:leftChars="0" w:right="759" w:rightChars="0"/>
        <w:textAlignment w:val="auto"/>
        <w:rPr>
          <w:rFonts w:hint="eastAsia" w:ascii="楷体" w:hAnsi="楷体" w:eastAsia="楷体" w:cs="楷体"/>
          <w:spacing w:val="0"/>
          <w:lang w:val="en-US" w:eastAsia="zh-CN"/>
        </w:rPr>
      </w:pPr>
      <w:r>
        <w:rPr>
          <w:rFonts w:hint="eastAsia" w:ascii="楷体" w:hAnsi="楷体" w:eastAsia="楷体" w:cs="楷体"/>
          <w:spacing w:val="0"/>
          <w:lang w:val="en-US" w:eastAsia="zh-CN"/>
        </w:rPr>
        <w:t>二、项目地点</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240" w:lineRule="auto"/>
        <w:ind w:leftChars="0" w:right="759" w:rightChars="0"/>
        <w:textAlignment w:val="auto"/>
        <w:rPr>
          <w:rFonts w:hint="eastAsia" w:ascii="仿宋_GB2312" w:hAnsi="仿宋_GB2312" w:eastAsia="仿宋_GB2312" w:cs="仿宋_GB2312"/>
          <w:spacing w:val="0"/>
          <w:lang w:val="en-US" w:eastAsia="zh-CN"/>
        </w:rPr>
      </w:pPr>
      <w:r>
        <w:rPr>
          <w:rFonts w:hint="eastAsia" w:ascii="仿宋_GB2312" w:hAnsi="仿宋_GB2312" w:eastAsia="仿宋_GB2312" w:cs="仿宋_GB2312"/>
          <w:spacing w:val="0"/>
          <w:lang w:val="en-US" w:eastAsia="zh-CN"/>
        </w:rPr>
        <w:t>平潭海岛国家森林公园内</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240" w:lineRule="auto"/>
        <w:ind w:leftChars="0" w:right="759" w:rightChars="0"/>
        <w:textAlignment w:val="auto"/>
        <w:rPr>
          <w:rFonts w:hint="eastAsia" w:ascii="楷体" w:hAnsi="楷体" w:eastAsia="楷体" w:cs="楷体"/>
          <w:spacing w:val="0"/>
          <w:lang w:val="en-US" w:eastAsia="zh-CN"/>
        </w:rPr>
      </w:pPr>
      <w:r>
        <w:rPr>
          <w:rFonts w:hint="eastAsia" w:ascii="楷体" w:hAnsi="楷体" w:eastAsia="楷体" w:cs="楷体"/>
          <w:spacing w:val="0"/>
          <w:lang w:val="en-US" w:eastAsia="zh-CN"/>
        </w:rPr>
        <w:t>三、建筑物结构类型及层数</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240" w:lineRule="auto"/>
        <w:ind w:leftChars="0" w:right="759" w:rightChars="0"/>
        <w:textAlignment w:val="auto"/>
        <w:rPr>
          <w:rFonts w:hint="eastAsia" w:ascii="仿宋_GB2312" w:hAnsi="仿宋_GB2312" w:eastAsia="仿宋_GB2312" w:cs="仿宋_GB2312"/>
          <w:spacing w:val="0"/>
          <w:lang w:val="en-US" w:eastAsia="zh-CN"/>
        </w:rPr>
      </w:pPr>
      <w:r>
        <w:rPr>
          <w:rFonts w:hint="eastAsia" w:ascii="仿宋_GB2312" w:hAnsi="仿宋_GB2312" w:eastAsia="仿宋_GB2312" w:cs="仿宋_GB2312"/>
          <w:spacing w:val="0"/>
          <w:lang w:val="en-US" w:eastAsia="zh-CN"/>
        </w:rPr>
        <w:t>主体建筑为框架、砖混结构，6层；附属建筑为砖混结构，4层。</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240" w:lineRule="auto"/>
        <w:ind w:leftChars="0" w:right="759" w:rightChars="0"/>
        <w:textAlignment w:val="auto"/>
        <w:rPr>
          <w:rFonts w:hint="eastAsia" w:ascii="楷体" w:hAnsi="楷体" w:eastAsia="楷体" w:cs="楷体"/>
          <w:spacing w:val="0"/>
          <w:lang w:val="en-US" w:eastAsia="zh-CN"/>
        </w:rPr>
      </w:pPr>
      <w:r>
        <w:rPr>
          <w:rFonts w:hint="eastAsia" w:ascii="楷体" w:hAnsi="楷体" w:eastAsia="楷体" w:cs="楷体"/>
          <w:spacing w:val="0"/>
          <w:lang w:val="en-US" w:eastAsia="zh-CN"/>
        </w:rPr>
        <w:t>四、承包形式及要求</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240" w:lineRule="auto"/>
        <w:ind w:leftChars="0" w:right="759" w:rightChars="0"/>
        <w:textAlignment w:val="auto"/>
        <w:rPr>
          <w:rFonts w:hint="eastAsia" w:ascii="仿宋_GB2312" w:hAnsi="仿宋_GB2312" w:eastAsia="仿宋_GB2312" w:cs="仿宋_GB2312"/>
          <w:spacing w:val="0"/>
        </w:rPr>
      </w:pPr>
      <w:r>
        <w:rPr>
          <w:rFonts w:hint="eastAsia" w:ascii="仿宋_GB2312" w:hAnsi="仿宋_GB2312" w:eastAsia="仿宋_GB2312" w:cs="仿宋_GB2312"/>
          <w:spacing w:val="0"/>
          <w:lang w:val="en-US" w:eastAsia="zh-CN"/>
        </w:rPr>
        <w:t>1.</w:t>
      </w:r>
      <w:r>
        <w:rPr>
          <w:rFonts w:hint="eastAsia" w:ascii="仿宋_GB2312" w:hAnsi="仿宋_GB2312" w:eastAsia="仿宋_GB2312" w:cs="仿宋_GB2312"/>
          <w:spacing w:val="0"/>
        </w:rPr>
        <w:t>承包方式：拆除物由承包方处置，承包方负责所有的拆除、维护、安全措施等。</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240" w:lineRule="auto"/>
        <w:ind w:leftChars="0" w:right="759" w:rightChars="0"/>
        <w:textAlignment w:val="auto"/>
        <w:rPr>
          <w:rFonts w:hint="eastAsia" w:ascii="仿宋_GB2312" w:hAnsi="仿宋_GB2312" w:eastAsia="仿宋_GB2312" w:cs="仿宋_GB2312"/>
          <w:spacing w:val="0"/>
        </w:rPr>
      </w:pPr>
      <w:r>
        <w:rPr>
          <w:rFonts w:hint="eastAsia" w:ascii="仿宋_GB2312" w:hAnsi="仿宋_GB2312" w:eastAsia="仿宋_GB2312" w:cs="仿宋_GB2312"/>
          <w:spacing w:val="0"/>
          <w:lang w:val="en-US" w:eastAsia="zh-CN"/>
        </w:rPr>
        <w:t>2.</w:t>
      </w:r>
      <w:r>
        <w:rPr>
          <w:rFonts w:hint="eastAsia" w:ascii="仿宋_GB2312" w:hAnsi="仿宋_GB2312" w:eastAsia="仿宋_GB2312" w:cs="仿宋_GB2312"/>
          <w:spacing w:val="0"/>
        </w:rPr>
        <w:t>要求质量标准：合格</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240" w:lineRule="auto"/>
        <w:ind w:leftChars="0" w:right="759" w:rightChars="0"/>
        <w:textAlignment w:val="auto"/>
        <w:rPr>
          <w:rFonts w:hint="eastAsia" w:ascii="仿宋_GB2312" w:hAnsi="仿宋_GB2312" w:eastAsia="仿宋_GB2312" w:cs="仿宋_GB2312"/>
          <w:spacing w:val="0"/>
        </w:rPr>
      </w:pPr>
      <w:r>
        <w:rPr>
          <w:rFonts w:hint="eastAsia" w:ascii="仿宋_GB2312" w:hAnsi="仿宋_GB2312" w:eastAsia="仿宋_GB2312" w:cs="仿宋_GB2312"/>
          <w:spacing w:val="0"/>
          <w:lang w:val="en-US" w:eastAsia="zh-CN"/>
        </w:rPr>
        <w:t>3.</w:t>
      </w:r>
      <w:r>
        <w:rPr>
          <w:rFonts w:hint="eastAsia" w:ascii="仿宋_GB2312" w:hAnsi="仿宋_GB2312" w:eastAsia="仿宋_GB2312" w:cs="仿宋_GB2312"/>
          <w:spacing w:val="0"/>
        </w:rPr>
        <w:t>要求工期：</w:t>
      </w:r>
      <w:r>
        <w:rPr>
          <w:rFonts w:hint="eastAsia" w:ascii="仿宋_GB2312" w:hAnsi="仿宋_GB2312" w:eastAsia="仿宋_GB2312" w:cs="仿宋_GB2312"/>
          <w:spacing w:val="0"/>
          <w:lang w:val="en-US" w:eastAsia="zh-CN"/>
        </w:rPr>
        <w:t>7天</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240" w:lineRule="auto"/>
        <w:ind w:leftChars="0" w:right="759" w:rightChars="0"/>
        <w:textAlignment w:val="auto"/>
        <w:rPr>
          <w:rFonts w:hint="eastAsia" w:ascii="仿宋_GB2312" w:hAnsi="仿宋_GB2312" w:eastAsia="仿宋_GB2312" w:cs="仿宋_GB2312"/>
          <w:spacing w:val="0"/>
          <w:lang w:val="en-US" w:eastAsia="zh-CN"/>
        </w:rPr>
      </w:pPr>
      <w:r>
        <w:rPr>
          <w:rFonts w:hint="eastAsia" w:ascii="仿宋_GB2312" w:hAnsi="仿宋_GB2312" w:eastAsia="仿宋_GB2312" w:cs="仿宋_GB2312"/>
          <w:spacing w:val="0"/>
          <w:lang w:val="en-US" w:eastAsia="zh-CN"/>
        </w:rPr>
        <w:t>4.</w:t>
      </w:r>
      <w:r>
        <w:rPr>
          <w:rFonts w:hint="eastAsia" w:ascii="仿宋_GB2312" w:hAnsi="仿宋_GB2312" w:eastAsia="仿宋_GB2312" w:cs="仿宋_GB2312"/>
          <w:spacing w:val="0"/>
        </w:rPr>
        <w:t>资金来源：</w:t>
      </w:r>
      <w:r>
        <w:rPr>
          <w:rFonts w:hint="eastAsia" w:ascii="仿宋_GB2312" w:hAnsi="仿宋_GB2312" w:eastAsia="仿宋_GB2312" w:cs="仿宋_GB2312"/>
          <w:spacing w:val="0"/>
          <w:lang w:val="en-US" w:eastAsia="zh-CN"/>
        </w:rPr>
        <w:t>财政核拨</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240" w:lineRule="auto"/>
        <w:ind w:leftChars="0" w:right="759" w:rightChars="0"/>
        <w:textAlignment w:val="auto"/>
        <w:rPr>
          <w:rFonts w:hint="eastAsia" w:ascii="仿宋_GB2312" w:hAnsi="仿宋_GB2312" w:eastAsia="仿宋_GB2312" w:cs="仿宋_GB2312"/>
          <w:spacing w:val="0"/>
          <w:lang w:eastAsia="zh-CN"/>
        </w:rPr>
      </w:pPr>
      <w:r>
        <w:rPr>
          <w:rFonts w:hint="eastAsia" w:ascii="仿宋_GB2312" w:hAnsi="仿宋_GB2312" w:eastAsia="仿宋_GB2312" w:cs="仿宋_GB2312"/>
          <w:spacing w:val="0"/>
          <w:lang w:val="en-US" w:eastAsia="zh-CN"/>
        </w:rPr>
        <w:t>5.</w:t>
      </w:r>
      <w:r>
        <w:rPr>
          <w:rFonts w:hint="eastAsia" w:ascii="仿宋_GB2312" w:hAnsi="仿宋_GB2312" w:eastAsia="仿宋_GB2312" w:cs="仿宋_GB2312"/>
          <w:spacing w:val="0"/>
        </w:rPr>
        <w:t>投标保证金数额为</w:t>
      </w:r>
      <w:r>
        <w:rPr>
          <w:rFonts w:hint="eastAsia" w:ascii="仿宋_GB2312" w:hAnsi="仿宋_GB2312" w:eastAsia="仿宋_GB2312" w:cs="仿宋_GB2312"/>
          <w:spacing w:val="0"/>
          <w:lang w:val="en-US" w:eastAsia="zh-CN"/>
        </w:rPr>
        <w:t>1万</w:t>
      </w:r>
      <w:r>
        <w:rPr>
          <w:rFonts w:hint="eastAsia" w:ascii="仿宋_GB2312" w:hAnsi="仿宋_GB2312" w:eastAsia="仿宋_GB2312" w:cs="仿宋_GB2312"/>
          <w:spacing w:val="0"/>
        </w:rPr>
        <w:t>元，投标保证金必须在投标截止前</w:t>
      </w:r>
      <w:r>
        <w:rPr>
          <w:rFonts w:hint="eastAsia" w:ascii="仿宋_GB2312" w:hAnsi="仿宋_GB2312" w:eastAsia="仿宋_GB2312" w:cs="仿宋_GB2312"/>
          <w:spacing w:val="0"/>
          <w:lang w:val="en-US" w:eastAsia="zh-CN"/>
        </w:rPr>
        <w:t>转入指定账户</w:t>
      </w:r>
      <w:r>
        <w:rPr>
          <w:rFonts w:hint="eastAsia" w:ascii="仿宋_GB2312" w:hAnsi="仿宋_GB2312" w:eastAsia="仿宋_GB2312" w:cs="仿宋_GB2312"/>
          <w:spacing w:val="0"/>
          <w:lang w:eastAsia="zh-CN"/>
        </w:rPr>
        <w:t>。</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240" w:lineRule="auto"/>
        <w:ind w:leftChars="0" w:right="759" w:rightChars="0"/>
        <w:textAlignment w:val="auto"/>
        <w:rPr>
          <w:rFonts w:hint="eastAsia" w:ascii="仿宋_GB2312" w:hAnsi="仿宋_GB2312" w:eastAsia="仿宋_GB2312" w:cs="仿宋_GB2312"/>
          <w:spacing w:val="0"/>
        </w:rPr>
      </w:pPr>
      <w:r>
        <w:rPr>
          <w:rFonts w:hint="eastAsia" w:ascii="仿宋_GB2312" w:hAnsi="仿宋_GB2312" w:eastAsia="仿宋_GB2312" w:cs="仿宋_GB2312"/>
          <w:spacing w:val="0"/>
          <w:lang w:val="en-US" w:eastAsia="zh-CN"/>
        </w:rPr>
        <w:t>6.</w:t>
      </w:r>
      <w:r>
        <w:rPr>
          <w:rFonts w:hint="eastAsia" w:ascii="仿宋_GB2312" w:hAnsi="仿宋_GB2312" w:eastAsia="仿宋_GB2312" w:cs="仿宋_GB2312"/>
          <w:spacing w:val="0"/>
        </w:rPr>
        <w:t>投标文件份数为：正本一份，副本</w:t>
      </w:r>
      <w:r>
        <w:rPr>
          <w:rFonts w:hint="eastAsia" w:ascii="仿宋_GB2312" w:hAnsi="仿宋_GB2312" w:eastAsia="仿宋_GB2312" w:cs="仿宋_GB2312"/>
          <w:spacing w:val="0"/>
          <w:lang w:val="en-US" w:eastAsia="zh-CN"/>
        </w:rPr>
        <w:t>一</w:t>
      </w:r>
      <w:r>
        <w:rPr>
          <w:rFonts w:hint="eastAsia" w:ascii="仿宋_GB2312" w:hAnsi="仿宋_GB2312" w:eastAsia="仿宋_GB2312" w:cs="仿宋_GB2312"/>
          <w:spacing w:val="0"/>
        </w:rPr>
        <w:t>份</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240" w:lineRule="auto"/>
        <w:ind w:leftChars="0" w:right="759" w:rightChars="0"/>
        <w:textAlignment w:val="auto"/>
        <w:rPr>
          <w:rFonts w:hint="eastAsia" w:ascii="楷体" w:hAnsi="楷体" w:eastAsia="楷体" w:cs="楷体"/>
          <w:spacing w:val="0"/>
          <w:lang w:val="en-US" w:eastAsia="zh-CN"/>
        </w:rPr>
      </w:pPr>
      <w:r>
        <w:rPr>
          <w:rFonts w:hint="eastAsia" w:ascii="楷体" w:hAnsi="楷体" w:eastAsia="楷体" w:cs="楷体"/>
          <w:spacing w:val="0"/>
          <w:lang w:val="en-US" w:eastAsia="zh-CN"/>
        </w:rPr>
        <w:t>五、投标文件递交：</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240" w:lineRule="auto"/>
        <w:ind w:leftChars="0" w:right="759" w:rightChars="0"/>
        <w:textAlignment w:val="auto"/>
        <w:rPr>
          <w:rFonts w:hint="eastAsia" w:ascii="仿宋_GB2312" w:hAnsi="仿宋_GB2312" w:eastAsia="仿宋_GB2312" w:cs="仿宋_GB2312"/>
          <w:spacing w:val="0"/>
        </w:rPr>
      </w:pPr>
      <w:r>
        <w:rPr>
          <w:rFonts w:hint="eastAsia" w:ascii="仿宋_GB2312" w:hAnsi="仿宋_GB2312" w:eastAsia="仿宋_GB2312" w:cs="仿宋_GB2312"/>
          <w:spacing w:val="0"/>
          <w:lang w:val="en-US" w:eastAsia="zh-CN"/>
        </w:rPr>
        <w:t>1.</w:t>
      </w:r>
      <w:r>
        <w:rPr>
          <w:rFonts w:hint="eastAsia" w:ascii="仿宋_GB2312" w:hAnsi="仿宋_GB2312" w:eastAsia="仿宋_GB2312" w:cs="仿宋_GB2312"/>
          <w:spacing w:val="0"/>
        </w:rPr>
        <w:t>截止时间：</w:t>
      </w:r>
      <w:r>
        <w:rPr>
          <w:rFonts w:hint="eastAsia" w:ascii="仿宋_GB2312" w:hAnsi="仿宋_GB2312" w:eastAsia="仿宋_GB2312" w:cs="仿宋_GB2312"/>
          <w:spacing w:val="0"/>
          <w:lang w:val="en-US" w:eastAsia="zh-CN"/>
        </w:rPr>
        <w:t>2021年</w:t>
      </w:r>
      <w:r>
        <w:rPr>
          <w:rFonts w:hint="eastAsia" w:ascii="仿宋_GB2312" w:hAnsi="仿宋_GB2312" w:eastAsia="仿宋_GB2312" w:cs="仿宋_GB2312"/>
          <w:spacing w:val="0"/>
        </w:rPr>
        <w:t>5月10日11时30分</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240" w:lineRule="auto"/>
        <w:ind w:leftChars="0" w:right="759" w:rightChars="0"/>
        <w:textAlignment w:val="auto"/>
        <w:rPr>
          <w:rFonts w:hint="eastAsia" w:ascii="仿宋_GB2312" w:hAnsi="仿宋_GB2312" w:eastAsia="仿宋_GB2312" w:cs="仿宋_GB2312"/>
          <w:spacing w:val="0"/>
        </w:rPr>
      </w:pPr>
      <w:r>
        <w:rPr>
          <w:rFonts w:hint="eastAsia" w:ascii="仿宋_GB2312" w:hAnsi="仿宋_GB2312" w:eastAsia="仿宋_GB2312" w:cs="仿宋_GB2312"/>
          <w:spacing w:val="0"/>
          <w:lang w:val="en-US" w:eastAsia="zh-CN"/>
        </w:rPr>
        <w:t>2.</w:t>
      </w:r>
      <w:r>
        <w:rPr>
          <w:rFonts w:hint="eastAsia" w:ascii="仿宋_GB2312" w:hAnsi="仿宋_GB2312" w:eastAsia="仿宋_GB2312" w:cs="仿宋_GB2312"/>
          <w:spacing w:val="0"/>
        </w:rPr>
        <w:t>地点：平潭综合实验区金井湾商务运营中心3号楼</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240" w:lineRule="auto"/>
        <w:ind w:leftChars="0" w:right="759" w:rightChars="0"/>
        <w:textAlignment w:val="auto"/>
        <w:rPr>
          <w:rFonts w:hint="eastAsia" w:ascii="仿宋_GB2312" w:hAnsi="仿宋_GB2312" w:eastAsia="仿宋_GB2312" w:cs="仿宋_GB2312"/>
          <w:spacing w:val="0"/>
        </w:rPr>
      </w:pPr>
      <w:r>
        <w:rPr>
          <w:rFonts w:hint="eastAsia" w:ascii="仿宋_GB2312" w:hAnsi="仿宋_GB2312" w:eastAsia="仿宋_GB2312" w:cs="仿宋_GB2312"/>
          <w:spacing w:val="0"/>
        </w:rPr>
        <w:t>15层平潭国有防护林场办公室</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240" w:lineRule="auto"/>
        <w:ind w:leftChars="0" w:right="759" w:rightChars="0"/>
        <w:textAlignment w:val="auto"/>
        <w:rPr>
          <w:rFonts w:hint="eastAsia" w:ascii="楷体" w:hAnsi="楷体" w:eastAsia="楷体" w:cs="楷体"/>
          <w:spacing w:val="0"/>
          <w:lang w:val="en-US" w:eastAsia="zh-CN"/>
        </w:rPr>
      </w:pPr>
      <w:r>
        <w:rPr>
          <w:rFonts w:hint="eastAsia" w:ascii="楷体" w:hAnsi="楷体" w:eastAsia="楷体" w:cs="楷体"/>
          <w:spacing w:val="0"/>
          <w:lang w:val="en-US" w:eastAsia="zh-CN"/>
        </w:rPr>
        <w:t>六、开标</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240" w:lineRule="auto"/>
        <w:ind w:leftChars="0" w:right="759" w:rightChars="0"/>
        <w:textAlignment w:val="auto"/>
        <w:rPr>
          <w:rFonts w:hint="eastAsia" w:ascii="仿宋_GB2312" w:hAnsi="仿宋_GB2312" w:eastAsia="仿宋_GB2312" w:cs="仿宋_GB2312"/>
          <w:spacing w:val="0"/>
        </w:rPr>
      </w:pPr>
      <w:r>
        <w:rPr>
          <w:rFonts w:hint="eastAsia" w:ascii="仿宋_GB2312" w:hAnsi="仿宋_GB2312" w:eastAsia="仿宋_GB2312" w:cs="仿宋_GB2312"/>
          <w:spacing w:val="0"/>
        </w:rPr>
        <w:t>时间：开标时间拟定于2021年5月10日下午</w:t>
      </w:r>
      <w:r>
        <w:rPr>
          <w:rFonts w:hint="eastAsia" w:ascii="仿宋_GB2312" w:hAnsi="仿宋_GB2312" w:eastAsia="仿宋_GB2312" w:cs="仿宋_GB2312"/>
          <w:spacing w:val="0"/>
          <w:lang w:val="en-US" w:eastAsia="zh-CN"/>
        </w:rPr>
        <w:t>4</w:t>
      </w:r>
      <w:r>
        <w:rPr>
          <w:rFonts w:hint="eastAsia" w:ascii="仿宋_GB2312" w:hAnsi="仿宋_GB2312" w:eastAsia="仿宋_GB2312" w:cs="仿宋_GB2312"/>
          <w:spacing w:val="0"/>
        </w:rPr>
        <w:t>:00</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240" w:lineRule="auto"/>
        <w:ind w:leftChars="0" w:right="759" w:rightChars="0"/>
        <w:textAlignment w:val="auto"/>
        <w:rPr>
          <w:rFonts w:hint="eastAsia" w:ascii="仿宋_GB2312" w:hAnsi="仿宋_GB2312" w:eastAsia="仿宋_GB2312" w:cs="仿宋_GB2312"/>
          <w:spacing w:val="0"/>
        </w:rPr>
      </w:pPr>
      <w:r>
        <w:rPr>
          <w:rFonts w:hint="eastAsia" w:ascii="仿宋_GB2312" w:hAnsi="仿宋_GB2312" w:eastAsia="仿宋_GB2312" w:cs="仿宋_GB2312"/>
          <w:spacing w:val="0"/>
        </w:rPr>
        <w:t>地点：平潭综合实验区金井湾商务运营中心3号楼15层第三会议室</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240" w:lineRule="auto"/>
        <w:ind w:leftChars="0" w:right="759" w:rightChars="0"/>
        <w:textAlignment w:val="auto"/>
        <w:rPr>
          <w:rFonts w:hint="eastAsia" w:ascii="楷体" w:hAnsi="楷体" w:eastAsia="楷体" w:cs="楷体"/>
          <w:spacing w:val="0"/>
          <w:lang w:val="en-US" w:eastAsia="zh-CN"/>
        </w:rPr>
      </w:pPr>
      <w:r>
        <w:rPr>
          <w:rFonts w:hint="eastAsia" w:ascii="楷体" w:hAnsi="楷体" w:eastAsia="楷体" w:cs="楷体"/>
          <w:spacing w:val="0"/>
          <w:lang w:val="en-US" w:eastAsia="zh-CN"/>
        </w:rPr>
        <w:t>七、特别告知</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240" w:lineRule="auto"/>
        <w:ind w:leftChars="0" w:right="759" w:rightChars="0"/>
        <w:textAlignment w:val="auto"/>
        <w:rPr>
          <w:rFonts w:hint="default" w:ascii="仿宋_GB2312" w:hAnsi="仿宋_GB2312" w:eastAsia="仿宋_GB2312" w:cs="仿宋_GB2312"/>
          <w:spacing w:val="0"/>
          <w:lang w:val="en-US" w:eastAsia="zh-CN"/>
        </w:rPr>
        <w:sectPr>
          <w:footerReference r:id="rId5" w:type="default"/>
          <w:pgSz w:w="11906" w:h="16838"/>
          <w:pgMar w:top="1440" w:right="1800" w:bottom="1440" w:left="1800" w:header="0" w:footer="1635" w:gutter="0"/>
          <w:pgNumType w:start="3"/>
          <w:cols w:space="720" w:num="1"/>
        </w:sectPr>
      </w:pPr>
      <w:r>
        <w:rPr>
          <w:rFonts w:hint="eastAsia" w:ascii="仿宋_GB2312" w:hAnsi="仿宋_GB2312" w:eastAsia="仿宋_GB2312" w:cs="仿宋_GB2312"/>
          <w:spacing w:val="0"/>
          <w:lang w:val="en-US" w:eastAsia="zh-CN"/>
        </w:rPr>
        <w:t>若因区管委会决策调整或其他客观因素导致拆除工作不具备实施条件的，则拆除工作自然终止，招标方与中标方均无需承担相应责任，投标方报名即视为同意该项内容。</w:t>
      </w:r>
    </w:p>
    <w:p>
      <w:pPr>
        <w:pStyle w:val="3"/>
        <w:keepNext w:val="0"/>
        <w:keepLines w:val="0"/>
        <w:pageBreakBefore w:val="0"/>
        <w:widowControl w:val="0"/>
        <w:tabs>
          <w:tab w:val="left" w:pos="6799"/>
          <w:tab w:val="left" w:pos="7419"/>
          <w:tab w:val="left" w:pos="10459"/>
        </w:tabs>
        <w:kinsoku/>
        <w:wordWrap/>
        <w:overflowPunct/>
        <w:topLinePunct w:val="0"/>
        <w:autoSpaceDE w:val="0"/>
        <w:autoSpaceDN w:val="0"/>
        <w:bidi w:val="0"/>
        <w:adjustRightInd/>
        <w:snapToGrid/>
        <w:spacing w:line="240" w:lineRule="auto"/>
        <w:ind w:left="120" w:right="759" w:firstLine="0"/>
        <w:textAlignment w:val="auto"/>
        <w:rPr>
          <w:rFonts w:hint="eastAsia" w:ascii="仿宋_GB2312" w:hAnsi="仿宋_GB2312" w:eastAsia="仿宋_GB2312" w:cs="仿宋_GB2312"/>
          <w:spacing w:val="0"/>
        </w:rPr>
      </w:pP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600" w:lineRule="exact"/>
        <w:ind w:leftChars="0" w:right="759" w:rightChars="0"/>
        <w:jc w:val="center"/>
        <w:textAlignment w:val="auto"/>
        <w:rPr>
          <w:rFonts w:hint="eastAsia" w:ascii="黑体" w:hAnsi="黑体" w:eastAsia="黑体" w:cs="黑体"/>
          <w:spacing w:val="0"/>
          <w:sz w:val="36"/>
          <w:szCs w:val="36"/>
        </w:rPr>
      </w:pPr>
      <w:r>
        <w:rPr>
          <w:rFonts w:hint="eastAsia" w:ascii="黑体" w:hAnsi="黑体" w:eastAsia="黑体" w:cs="黑体"/>
          <w:spacing w:val="0"/>
          <w:sz w:val="36"/>
          <w:szCs w:val="36"/>
        </w:rPr>
        <w:t>一、总则</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255" w:line="600" w:lineRule="exact"/>
        <w:ind w:leftChars="0" w:right="0" w:rightChars="0"/>
        <w:textAlignment w:val="auto"/>
        <w:rPr>
          <w:rFonts w:hint="eastAsia" w:ascii="仿宋_GB2312" w:hAnsi="仿宋_GB2312" w:eastAsia="仿宋_GB2312" w:cs="仿宋_GB2312"/>
          <w:spacing w:val="0"/>
          <w:sz w:val="30"/>
          <w:szCs w:val="30"/>
        </w:rPr>
      </w:pPr>
      <w:r>
        <w:rPr>
          <w:rFonts w:hint="eastAsia" w:ascii="仿宋_GB2312" w:hAnsi="仿宋_GB2312" w:eastAsia="仿宋_GB2312" w:cs="仿宋_GB2312"/>
          <w:spacing w:val="0"/>
          <w:sz w:val="30"/>
          <w:szCs w:val="30"/>
        </w:rPr>
        <w:t>（一）工程概况</w:t>
      </w:r>
    </w:p>
    <w:p>
      <w:pPr>
        <w:pStyle w:val="7"/>
        <w:keepNext w:val="0"/>
        <w:keepLines w:val="0"/>
        <w:pageBreakBefore w:val="0"/>
        <w:widowControl w:val="0"/>
        <w:numPr>
          <w:ilvl w:val="0"/>
          <w:numId w:val="0"/>
        </w:numPr>
        <w:tabs>
          <w:tab w:val="left" w:pos="819"/>
          <w:tab w:val="left" w:pos="820"/>
        </w:tabs>
        <w:kinsoku/>
        <w:wordWrap/>
        <w:overflowPunct/>
        <w:topLinePunct w:val="0"/>
        <w:autoSpaceDE w:val="0"/>
        <w:autoSpaceDN w:val="0"/>
        <w:bidi w:val="0"/>
        <w:adjustRightInd/>
        <w:snapToGrid/>
        <w:spacing w:before="72" w:after="0" w:line="600" w:lineRule="exact"/>
        <w:ind w:leftChars="0" w:right="0" w:rightChars="0"/>
        <w:jc w:val="left"/>
        <w:textAlignment w:val="auto"/>
        <w:rPr>
          <w:rFonts w:hint="eastAsia" w:ascii="仿宋_GB2312" w:hAnsi="仿宋_GB2312" w:eastAsia="仿宋_GB2312" w:cs="仿宋_GB2312"/>
          <w:spacing w:val="0"/>
          <w:sz w:val="30"/>
          <w:szCs w:val="30"/>
        </w:rPr>
      </w:pPr>
      <w:r>
        <w:rPr>
          <w:rFonts w:hint="eastAsia" w:ascii="仿宋_GB2312" w:hAnsi="仿宋_GB2312" w:eastAsia="仿宋_GB2312" w:cs="仿宋_GB2312"/>
          <w:spacing w:val="0"/>
          <w:sz w:val="30"/>
          <w:szCs w:val="30"/>
          <w:lang w:val="en-US" w:eastAsia="zh-CN"/>
        </w:rPr>
        <w:t>1.</w:t>
      </w:r>
      <w:r>
        <w:rPr>
          <w:rFonts w:hint="eastAsia" w:ascii="仿宋_GB2312" w:hAnsi="仿宋_GB2312" w:eastAsia="仿宋_GB2312" w:cs="仿宋_GB2312"/>
          <w:spacing w:val="0"/>
          <w:sz w:val="30"/>
          <w:szCs w:val="30"/>
        </w:rPr>
        <w:t>招标范围和承包方式：见投标须知</w:t>
      </w:r>
    </w:p>
    <w:p>
      <w:pPr>
        <w:pStyle w:val="7"/>
        <w:keepNext w:val="0"/>
        <w:keepLines w:val="0"/>
        <w:pageBreakBefore w:val="0"/>
        <w:widowControl w:val="0"/>
        <w:numPr>
          <w:ilvl w:val="0"/>
          <w:numId w:val="0"/>
        </w:numPr>
        <w:tabs>
          <w:tab w:val="left" w:pos="819"/>
          <w:tab w:val="left" w:pos="820"/>
        </w:tabs>
        <w:kinsoku/>
        <w:wordWrap/>
        <w:overflowPunct/>
        <w:topLinePunct w:val="0"/>
        <w:autoSpaceDE w:val="0"/>
        <w:autoSpaceDN w:val="0"/>
        <w:bidi w:val="0"/>
        <w:adjustRightInd/>
        <w:snapToGrid/>
        <w:spacing w:before="0" w:after="0" w:line="600" w:lineRule="exact"/>
        <w:ind w:leftChars="0" w:right="0" w:rightChars="0"/>
        <w:jc w:val="left"/>
        <w:textAlignment w:val="auto"/>
        <w:rPr>
          <w:rFonts w:hint="eastAsia" w:ascii="仿宋_GB2312" w:hAnsi="仿宋_GB2312" w:eastAsia="仿宋_GB2312" w:cs="仿宋_GB2312"/>
          <w:spacing w:val="0"/>
          <w:sz w:val="30"/>
          <w:szCs w:val="30"/>
        </w:rPr>
      </w:pPr>
      <w:r>
        <w:rPr>
          <w:rFonts w:hint="eastAsia" w:ascii="仿宋_GB2312" w:hAnsi="仿宋_GB2312" w:eastAsia="仿宋_GB2312" w:cs="仿宋_GB2312"/>
          <w:spacing w:val="0"/>
          <w:sz w:val="30"/>
          <w:szCs w:val="30"/>
          <w:lang w:val="en-US" w:eastAsia="zh-CN"/>
        </w:rPr>
        <w:t>2.</w:t>
      </w:r>
      <w:r>
        <w:rPr>
          <w:rFonts w:hint="eastAsia" w:ascii="仿宋_GB2312" w:hAnsi="仿宋_GB2312" w:eastAsia="仿宋_GB2312" w:cs="仿宋_GB2312"/>
          <w:spacing w:val="0"/>
          <w:sz w:val="30"/>
          <w:szCs w:val="30"/>
        </w:rPr>
        <w:t>现场条件</w:t>
      </w:r>
      <w:r>
        <w:rPr>
          <w:rFonts w:hint="eastAsia" w:ascii="仿宋_GB2312" w:hAnsi="仿宋_GB2312" w:eastAsia="仿宋_GB2312" w:cs="仿宋_GB2312"/>
          <w:spacing w:val="0"/>
          <w:sz w:val="30"/>
          <w:szCs w:val="30"/>
          <w:lang w:eastAsia="zh-CN"/>
        </w:rPr>
        <w:t>：</w:t>
      </w:r>
      <w:r>
        <w:rPr>
          <w:rFonts w:hint="eastAsia" w:ascii="仿宋_GB2312" w:hAnsi="仿宋_GB2312" w:eastAsia="仿宋_GB2312" w:cs="仿宋_GB2312"/>
          <w:spacing w:val="0"/>
          <w:sz w:val="30"/>
          <w:szCs w:val="30"/>
        </w:rPr>
        <w:t>场内外道路已通。施工车辆从</w:t>
      </w:r>
      <w:r>
        <w:rPr>
          <w:rFonts w:hint="eastAsia" w:ascii="仿宋_GB2312" w:hAnsi="仿宋_GB2312" w:eastAsia="仿宋_GB2312" w:cs="仿宋_GB2312"/>
          <w:spacing w:val="0"/>
          <w:sz w:val="30"/>
          <w:szCs w:val="30"/>
          <w:lang w:val="en-US" w:eastAsia="zh-CN"/>
        </w:rPr>
        <w:t>正</w:t>
      </w:r>
      <w:r>
        <w:rPr>
          <w:rFonts w:hint="eastAsia" w:ascii="仿宋_GB2312" w:hAnsi="仿宋_GB2312" w:eastAsia="仿宋_GB2312" w:cs="仿宋_GB2312"/>
          <w:spacing w:val="0"/>
          <w:sz w:val="30"/>
          <w:szCs w:val="30"/>
        </w:rPr>
        <w:t>门进出。由于车辆导致道路损坏由施工单位负责维修。确保车辆通行及市政道路清洁。确保校区道路不受损坏。否则由施工单位承担罚款及道路维修。按照《中华人民共和国招标投标法》及相关规定，上述工程现采用公开招标方式，</w:t>
      </w:r>
      <w:r>
        <w:rPr>
          <w:rFonts w:hint="eastAsia" w:ascii="仿宋_GB2312" w:hAnsi="仿宋_GB2312" w:eastAsia="仿宋_GB2312" w:cs="仿宋_GB2312"/>
          <w:spacing w:val="0"/>
          <w:sz w:val="30"/>
          <w:szCs w:val="30"/>
          <w:lang w:val="en-US" w:eastAsia="zh-CN"/>
        </w:rPr>
        <w:t>按照最低价中标原则</w:t>
      </w:r>
      <w:r>
        <w:rPr>
          <w:rFonts w:hint="eastAsia" w:ascii="仿宋_GB2312" w:hAnsi="仿宋_GB2312" w:eastAsia="仿宋_GB2312" w:cs="仿宋_GB2312"/>
          <w:spacing w:val="0"/>
          <w:sz w:val="30"/>
          <w:szCs w:val="30"/>
        </w:rPr>
        <w:t>选定施工单位。</w:t>
      </w:r>
    </w:p>
    <w:p>
      <w:pPr>
        <w:pStyle w:val="7"/>
        <w:keepNext w:val="0"/>
        <w:keepLines w:val="0"/>
        <w:pageBreakBefore w:val="0"/>
        <w:widowControl w:val="0"/>
        <w:numPr>
          <w:ilvl w:val="0"/>
          <w:numId w:val="0"/>
        </w:numPr>
        <w:tabs>
          <w:tab w:val="left" w:pos="819"/>
          <w:tab w:val="left" w:pos="820"/>
        </w:tabs>
        <w:kinsoku/>
        <w:wordWrap/>
        <w:overflowPunct/>
        <w:topLinePunct w:val="0"/>
        <w:autoSpaceDE w:val="0"/>
        <w:autoSpaceDN w:val="0"/>
        <w:bidi w:val="0"/>
        <w:adjustRightInd/>
        <w:snapToGrid/>
        <w:spacing w:before="0" w:after="0" w:line="600" w:lineRule="exact"/>
        <w:ind w:leftChars="0" w:right="0" w:rightChars="0"/>
        <w:jc w:val="left"/>
        <w:textAlignment w:val="auto"/>
        <w:rPr>
          <w:rFonts w:hint="default" w:ascii="仿宋_GB2312" w:hAnsi="仿宋_GB2312" w:eastAsia="仿宋_GB2312" w:cs="仿宋_GB2312"/>
          <w:spacing w:val="0"/>
          <w:sz w:val="30"/>
          <w:szCs w:val="30"/>
          <w:lang w:val="en-US" w:eastAsia="zh-CN"/>
        </w:rPr>
      </w:pPr>
      <w:r>
        <w:rPr>
          <w:rFonts w:hint="eastAsia" w:ascii="仿宋_GB2312" w:hAnsi="仿宋_GB2312" w:eastAsia="仿宋_GB2312" w:cs="仿宋_GB2312"/>
          <w:spacing w:val="0"/>
          <w:sz w:val="30"/>
          <w:szCs w:val="30"/>
          <w:lang w:val="en-US" w:eastAsia="zh-CN"/>
        </w:rPr>
        <w:t>3.若因区管委会决策调整或其他客观因素导致拆除工作不具备实施条件的，则拆除工作自然终止，招标方与中标方均无需承担相应责任，投标方报名即视为同意该项内容。</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17" w:line="600" w:lineRule="exact"/>
        <w:ind w:leftChars="0" w:right="0" w:rightChars="0"/>
        <w:textAlignment w:val="auto"/>
        <w:rPr>
          <w:rFonts w:hint="eastAsia" w:ascii="仿宋_GB2312" w:hAnsi="仿宋_GB2312" w:eastAsia="仿宋_GB2312" w:cs="仿宋_GB2312"/>
          <w:spacing w:val="0"/>
          <w:sz w:val="30"/>
          <w:szCs w:val="30"/>
        </w:rPr>
      </w:pPr>
      <w:r>
        <w:rPr>
          <w:rFonts w:hint="eastAsia" w:ascii="仿宋_GB2312" w:hAnsi="仿宋_GB2312" w:eastAsia="仿宋_GB2312" w:cs="仿宋_GB2312"/>
          <w:spacing w:val="0"/>
          <w:sz w:val="30"/>
          <w:szCs w:val="30"/>
        </w:rPr>
        <w:t>（二）投标单位资格要求</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16" w:line="600" w:lineRule="exact"/>
        <w:ind w:leftChars="0" w:right="0" w:rightChars="0" w:firstLine="600" w:firstLineChars="200"/>
        <w:textAlignment w:val="auto"/>
        <w:rPr>
          <w:rFonts w:hint="eastAsia" w:ascii="仿宋_GB2312" w:hAnsi="仿宋_GB2312" w:eastAsia="仿宋_GB2312" w:cs="仿宋_GB2312"/>
          <w:spacing w:val="0"/>
          <w:sz w:val="30"/>
          <w:szCs w:val="30"/>
          <w:lang w:val="en-US" w:eastAsia="zh-CN"/>
        </w:rPr>
      </w:pPr>
      <w:r>
        <w:rPr>
          <w:rFonts w:hint="eastAsia" w:ascii="仿宋_GB2312" w:hAnsi="仿宋_GB2312" w:eastAsia="仿宋_GB2312" w:cs="仿宋_GB2312"/>
          <w:spacing w:val="0"/>
          <w:sz w:val="30"/>
          <w:szCs w:val="30"/>
          <w:lang w:val="en-US" w:eastAsia="zh-CN"/>
        </w:rPr>
        <w:t>1.投标人须在平潭综合实验区内注册且具有独立法人资格，且经营范围需包含建筑物拆除业务；</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16" w:line="600" w:lineRule="exact"/>
        <w:ind w:leftChars="0" w:right="0" w:rightChars="0" w:firstLine="600" w:firstLineChars="200"/>
        <w:textAlignment w:val="auto"/>
        <w:rPr>
          <w:rFonts w:hint="eastAsia" w:ascii="仿宋_GB2312" w:hAnsi="仿宋_GB2312" w:eastAsia="仿宋_GB2312" w:cs="仿宋_GB2312"/>
          <w:spacing w:val="0"/>
          <w:sz w:val="30"/>
          <w:szCs w:val="30"/>
          <w:lang w:val="en-US" w:eastAsia="zh-CN"/>
        </w:rPr>
      </w:pPr>
      <w:r>
        <w:rPr>
          <w:rFonts w:hint="eastAsia" w:ascii="仿宋_GB2312" w:hAnsi="仿宋_GB2312" w:eastAsia="仿宋_GB2312" w:cs="仿宋_GB2312"/>
          <w:spacing w:val="0"/>
          <w:sz w:val="30"/>
          <w:szCs w:val="30"/>
          <w:lang w:val="en-US" w:eastAsia="zh-CN"/>
        </w:rPr>
        <w:t>2.投标人须具备建筑工程叁级（含）及以上工程总承包资质并在人员、设备、资金等方面具有相应的施工能力，具有有效的安全生产许可证,同时具有良好的信誉；</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16" w:line="600" w:lineRule="exact"/>
        <w:ind w:leftChars="0" w:right="0" w:rightChars="0" w:firstLine="600" w:firstLineChars="200"/>
        <w:textAlignment w:val="auto"/>
        <w:rPr>
          <w:rFonts w:hint="eastAsia" w:ascii="仿宋_GB2312" w:hAnsi="仿宋_GB2312" w:eastAsia="仿宋_GB2312" w:cs="仿宋_GB2312"/>
          <w:spacing w:val="0"/>
          <w:sz w:val="30"/>
          <w:szCs w:val="30"/>
          <w:lang w:val="en-US" w:eastAsia="zh-CN"/>
        </w:rPr>
      </w:pPr>
      <w:r>
        <w:rPr>
          <w:rFonts w:hint="eastAsia" w:ascii="仿宋_GB2312" w:hAnsi="仿宋_GB2312" w:eastAsia="仿宋_GB2312" w:cs="仿宋_GB2312"/>
          <w:spacing w:val="0"/>
          <w:sz w:val="30"/>
          <w:szCs w:val="30"/>
          <w:lang w:val="en-US" w:eastAsia="zh-CN"/>
        </w:rPr>
        <w:t>3.投标人在最近三年内没有骗取中标和重大违法等不良记录；</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16" w:line="600" w:lineRule="exact"/>
        <w:ind w:leftChars="0" w:right="0" w:rightChars="0" w:firstLine="600" w:firstLineChars="200"/>
        <w:textAlignment w:val="auto"/>
        <w:rPr>
          <w:rFonts w:hint="eastAsia" w:ascii="仿宋_GB2312" w:hAnsi="仿宋_GB2312" w:eastAsia="仿宋_GB2312" w:cs="仿宋_GB2312"/>
          <w:spacing w:val="0"/>
          <w:sz w:val="30"/>
          <w:szCs w:val="30"/>
          <w:lang w:val="en-US" w:eastAsia="zh-CN"/>
        </w:rPr>
      </w:pPr>
      <w:r>
        <w:rPr>
          <w:rFonts w:hint="eastAsia" w:ascii="仿宋_GB2312" w:hAnsi="仿宋_GB2312" w:eastAsia="仿宋_GB2312" w:cs="仿宋_GB2312"/>
          <w:spacing w:val="0"/>
          <w:sz w:val="30"/>
          <w:szCs w:val="30"/>
          <w:lang w:val="en-US" w:eastAsia="zh-CN"/>
        </w:rPr>
        <w:t>4.本项目不接受联合体投标；</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16" w:line="600" w:lineRule="exact"/>
        <w:ind w:leftChars="0" w:right="0" w:rightChars="0" w:firstLine="600" w:firstLineChars="200"/>
        <w:textAlignment w:val="auto"/>
        <w:rPr>
          <w:rFonts w:hint="eastAsia" w:ascii="仿宋_GB2312" w:hAnsi="仿宋_GB2312" w:eastAsia="仿宋_GB2312" w:cs="仿宋_GB2312"/>
          <w:spacing w:val="0"/>
          <w:sz w:val="30"/>
          <w:szCs w:val="30"/>
          <w:lang w:val="en-US" w:eastAsia="zh-CN"/>
        </w:rPr>
      </w:pPr>
      <w:r>
        <w:rPr>
          <w:rFonts w:hint="eastAsia" w:ascii="仿宋_GB2312" w:hAnsi="仿宋_GB2312" w:eastAsia="仿宋_GB2312" w:cs="仿宋_GB2312"/>
          <w:spacing w:val="0"/>
          <w:sz w:val="30"/>
          <w:szCs w:val="30"/>
          <w:lang w:val="en-US" w:eastAsia="zh-CN"/>
        </w:rPr>
        <w:t>5.投标人不得以他人名义投标。</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16" w:line="600" w:lineRule="exact"/>
        <w:ind w:leftChars="0" w:right="0" w:rightChars="0"/>
        <w:textAlignment w:val="auto"/>
        <w:rPr>
          <w:rFonts w:hint="eastAsia" w:ascii="仿宋_GB2312" w:hAnsi="仿宋_GB2312" w:eastAsia="仿宋_GB2312" w:cs="仿宋_GB2312"/>
          <w:spacing w:val="0"/>
          <w:sz w:val="30"/>
          <w:szCs w:val="30"/>
        </w:rPr>
      </w:pPr>
      <w:r>
        <w:rPr>
          <w:rFonts w:hint="eastAsia" w:ascii="仿宋_GB2312" w:hAnsi="仿宋_GB2312" w:eastAsia="仿宋_GB2312" w:cs="仿宋_GB2312"/>
          <w:spacing w:val="0"/>
          <w:sz w:val="30"/>
          <w:szCs w:val="30"/>
        </w:rPr>
        <w:t>（三）投标费用</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16" w:line="600" w:lineRule="exact"/>
        <w:ind w:leftChars="0" w:right="0" w:rightChars="0" w:firstLine="600" w:firstLineChars="200"/>
        <w:textAlignment w:val="auto"/>
        <w:rPr>
          <w:rFonts w:hint="eastAsia" w:ascii="仿宋_GB2312" w:hAnsi="仿宋_GB2312" w:eastAsia="仿宋_GB2312" w:cs="仿宋_GB2312"/>
          <w:spacing w:val="0"/>
          <w:sz w:val="30"/>
          <w:szCs w:val="30"/>
        </w:rPr>
      </w:pPr>
      <w:r>
        <w:rPr>
          <w:rFonts w:hint="eastAsia" w:ascii="仿宋_GB2312" w:hAnsi="仿宋_GB2312" w:eastAsia="仿宋_GB2312" w:cs="仿宋_GB2312"/>
          <w:spacing w:val="0"/>
          <w:sz w:val="30"/>
          <w:szCs w:val="30"/>
        </w:rPr>
        <w:t>投标人应承担其编制投标文件以及递交投标文件所涉及的一切费用。无论投标结果如何，招标人对上述费用不负任何责任。</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16" w:line="600" w:lineRule="exact"/>
        <w:ind w:leftChars="0" w:right="0" w:rightChars="0" w:firstLine="720" w:firstLineChars="200"/>
        <w:jc w:val="center"/>
        <w:textAlignment w:val="auto"/>
        <w:rPr>
          <w:rFonts w:hint="eastAsia" w:ascii="黑体" w:hAnsi="黑体" w:eastAsia="黑体" w:cs="黑体"/>
          <w:spacing w:val="0"/>
          <w:sz w:val="36"/>
          <w:szCs w:val="36"/>
        </w:rPr>
      </w:pPr>
      <w:r>
        <w:rPr>
          <w:rFonts w:hint="eastAsia" w:ascii="黑体" w:hAnsi="黑体" w:eastAsia="黑体" w:cs="黑体"/>
          <w:spacing w:val="0"/>
          <w:sz w:val="36"/>
          <w:szCs w:val="36"/>
        </w:rPr>
        <w:t>二、招标文件</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rPr>
      </w:pPr>
      <w:r>
        <w:rPr>
          <w:rFonts w:hint="eastAsia" w:ascii="仿宋_GB2312" w:hAnsi="仿宋_GB2312" w:eastAsia="仿宋_GB2312" w:cs="仿宋_GB2312"/>
          <w:spacing w:val="0"/>
          <w:sz w:val="30"/>
          <w:szCs w:val="30"/>
          <w:lang w:eastAsia="zh-CN"/>
        </w:rPr>
        <w:t>（</w:t>
      </w:r>
      <w:r>
        <w:rPr>
          <w:rFonts w:hint="eastAsia" w:ascii="仿宋_GB2312" w:hAnsi="仿宋_GB2312" w:eastAsia="仿宋_GB2312" w:cs="仿宋_GB2312"/>
          <w:spacing w:val="0"/>
          <w:sz w:val="30"/>
          <w:szCs w:val="30"/>
          <w:lang w:val="en-US" w:eastAsia="zh-CN"/>
        </w:rPr>
        <w:t>四</w:t>
      </w:r>
      <w:r>
        <w:rPr>
          <w:rFonts w:hint="eastAsia" w:ascii="仿宋_GB2312" w:hAnsi="仿宋_GB2312" w:eastAsia="仿宋_GB2312" w:cs="仿宋_GB2312"/>
          <w:spacing w:val="0"/>
          <w:sz w:val="30"/>
          <w:szCs w:val="30"/>
          <w:lang w:eastAsia="zh-CN"/>
        </w:rPr>
        <w:t>）</w:t>
      </w:r>
      <w:r>
        <w:rPr>
          <w:rFonts w:hint="eastAsia" w:ascii="仿宋_GB2312" w:hAnsi="仿宋_GB2312" w:eastAsia="仿宋_GB2312" w:cs="仿宋_GB2312"/>
          <w:spacing w:val="0"/>
          <w:sz w:val="30"/>
          <w:szCs w:val="30"/>
        </w:rPr>
        <w:t>招标文件的组成</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0" w:line="600" w:lineRule="exact"/>
        <w:ind w:leftChars="0" w:right="0" w:rightChars="0" w:firstLine="600" w:firstLineChars="200"/>
        <w:textAlignment w:val="auto"/>
        <w:rPr>
          <w:rFonts w:hint="eastAsia" w:ascii="仿宋_GB2312" w:hAnsi="仿宋_GB2312" w:eastAsia="仿宋_GB2312" w:cs="仿宋_GB2312"/>
          <w:spacing w:val="0"/>
          <w:sz w:val="30"/>
          <w:szCs w:val="30"/>
        </w:rPr>
      </w:pPr>
      <w:r>
        <w:rPr>
          <w:rFonts w:hint="eastAsia" w:ascii="仿宋_GB2312" w:hAnsi="仿宋_GB2312" w:eastAsia="仿宋_GB2312" w:cs="仿宋_GB2312"/>
          <w:spacing w:val="0"/>
          <w:sz w:val="30"/>
          <w:szCs w:val="30"/>
        </w:rPr>
        <w:t>本文及所有按第（六）条发出的补充通知和第（十八）条所述书面解答和补充通知。本文件未尽事宜按现行有关规定执行。</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rPr>
      </w:pPr>
      <w:r>
        <w:rPr>
          <w:rFonts w:hint="eastAsia" w:ascii="仿宋_GB2312" w:hAnsi="仿宋_GB2312" w:eastAsia="仿宋_GB2312" w:cs="仿宋_GB2312"/>
          <w:spacing w:val="0"/>
          <w:sz w:val="30"/>
          <w:szCs w:val="30"/>
          <w:lang w:val="en-US" w:eastAsia="zh-CN"/>
        </w:rPr>
        <w:t>（五）</w:t>
      </w:r>
      <w:r>
        <w:rPr>
          <w:rFonts w:hint="eastAsia" w:ascii="仿宋_GB2312" w:hAnsi="仿宋_GB2312" w:eastAsia="仿宋_GB2312" w:cs="仿宋_GB2312"/>
          <w:spacing w:val="0"/>
          <w:sz w:val="30"/>
          <w:szCs w:val="30"/>
        </w:rPr>
        <w:t>招标文件的澄清</w:t>
      </w:r>
    </w:p>
    <w:p>
      <w:pPr>
        <w:pStyle w:val="3"/>
        <w:keepNext w:val="0"/>
        <w:keepLines w:val="0"/>
        <w:pageBreakBefore w:val="0"/>
        <w:widowControl w:val="0"/>
        <w:numPr>
          <w:ilvl w:val="0"/>
          <w:numId w:val="0"/>
        </w:numPr>
        <w:tabs>
          <w:tab w:val="left" w:pos="7519"/>
          <w:tab w:val="left" w:pos="12159"/>
        </w:tabs>
        <w:kinsoku/>
        <w:wordWrap/>
        <w:overflowPunct/>
        <w:topLinePunct w:val="0"/>
        <w:autoSpaceDE w:val="0"/>
        <w:autoSpaceDN w:val="0"/>
        <w:bidi w:val="0"/>
        <w:adjustRightInd/>
        <w:snapToGrid/>
        <w:spacing w:before="0" w:line="600" w:lineRule="exact"/>
        <w:ind w:leftChars="0" w:right="0" w:rightChars="0" w:firstLine="600" w:firstLineChars="200"/>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rPr>
        <w:t>投标人对招标人提供的招标文件所做出的推论、解释和结论，招标人概不负责。投标人由于对招标文件的推论和误解及招标人对有关问题的口头解释所造成的后果，均由投标人自负。</w:t>
      </w:r>
    </w:p>
    <w:p>
      <w:pPr>
        <w:pStyle w:val="3"/>
        <w:keepNext w:val="0"/>
        <w:keepLines w:val="0"/>
        <w:pageBreakBefore w:val="0"/>
        <w:widowControl w:val="0"/>
        <w:numPr>
          <w:ilvl w:val="0"/>
          <w:numId w:val="0"/>
        </w:numPr>
        <w:tabs>
          <w:tab w:val="left" w:pos="11459"/>
        </w:tabs>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rPr>
        <w:t>（</w:t>
      </w:r>
      <w:r>
        <w:rPr>
          <w:rFonts w:hint="eastAsia" w:ascii="仿宋_GB2312" w:hAnsi="仿宋_GB2312" w:eastAsia="仿宋_GB2312" w:cs="仿宋_GB2312"/>
          <w:spacing w:val="0"/>
          <w:sz w:val="30"/>
          <w:szCs w:val="30"/>
          <w:lang w:val="en-US" w:eastAsia="zh-CN"/>
        </w:rPr>
        <w:t>六</w:t>
      </w:r>
      <w:r>
        <w:rPr>
          <w:rFonts w:hint="eastAsia" w:ascii="仿宋_GB2312" w:hAnsi="仿宋_GB2312" w:eastAsia="仿宋_GB2312" w:cs="仿宋_GB2312"/>
          <w:spacing w:val="0"/>
          <w:sz w:val="30"/>
          <w:szCs w:val="30"/>
        </w:rPr>
        <w:t>）招标文件的修改</w:t>
      </w:r>
    </w:p>
    <w:p>
      <w:pPr>
        <w:pStyle w:val="3"/>
        <w:keepNext w:val="0"/>
        <w:keepLines w:val="0"/>
        <w:pageBreakBefore w:val="0"/>
        <w:widowControl w:val="0"/>
        <w:numPr>
          <w:ilvl w:val="0"/>
          <w:numId w:val="0"/>
        </w:numPr>
        <w:tabs>
          <w:tab w:val="left" w:pos="11459"/>
        </w:tabs>
        <w:kinsoku/>
        <w:wordWrap/>
        <w:overflowPunct/>
        <w:topLinePunct w:val="0"/>
        <w:autoSpaceDE w:val="0"/>
        <w:autoSpaceDN w:val="0"/>
        <w:bidi w:val="0"/>
        <w:adjustRightInd/>
        <w:snapToGrid/>
        <w:spacing w:before="0" w:line="600" w:lineRule="exact"/>
        <w:ind w:leftChars="0" w:right="0" w:rightChars="0" w:firstLine="600" w:firstLineChars="200"/>
        <w:textAlignment w:val="auto"/>
        <w:rPr>
          <w:rFonts w:hint="eastAsia" w:ascii="仿宋_GB2312" w:hAnsi="仿宋_GB2312" w:eastAsia="仿宋_GB2312" w:cs="仿宋_GB2312"/>
          <w:spacing w:val="0"/>
          <w:sz w:val="30"/>
          <w:szCs w:val="30"/>
        </w:rPr>
      </w:pPr>
      <w:r>
        <w:rPr>
          <w:rFonts w:hint="eastAsia" w:ascii="仿宋_GB2312" w:hAnsi="仿宋_GB2312" w:eastAsia="仿宋_GB2312" w:cs="仿宋_GB2312"/>
          <w:spacing w:val="0"/>
          <w:sz w:val="30"/>
          <w:szCs w:val="30"/>
        </w:rPr>
        <w:t>招标人可以</w:t>
      </w:r>
      <w:r>
        <w:rPr>
          <w:rFonts w:hint="eastAsia" w:ascii="仿宋_GB2312" w:hAnsi="仿宋_GB2312" w:eastAsia="仿宋_GB2312" w:cs="仿宋_GB2312"/>
          <w:spacing w:val="0"/>
          <w:sz w:val="30"/>
          <w:szCs w:val="30"/>
          <w:lang w:val="en-US" w:eastAsia="zh-CN"/>
        </w:rPr>
        <w:t>考虑延长</w:t>
      </w:r>
      <w:r>
        <w:rPr>
          <w:rFonts w:hint="eastAsia" w:ascii="仿宋_GB2312" w:hAnsi="仿宋_GB2312" w:eastAsia="仿宋_GB2312" w:cs="仿宋_GB2312"/>
          <w:spacing w:val="0"/>
          <w:sz w:val="30"/>
          <w:szCs w:val="30"/>
        </w:rPr>
        <w:t>投标截止时间、开标时间（延长时间在补充通知中写明）。</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600" w:lineRule="exact"/>
        <w:ind w:leftChars="0" w:right="759" w:rightChars="0"/>
        <w:jc w:val="center"/>
        <w:textAlignment w:val="auto"/>
        <w:rPr>
          <w:rFonts w:hint="eastAsia" w:ascii="黑体" w:hAnsi="黑体" w:eastAsia="黑体" w:cs="黑体"/>
          <w:spacing w:val="0"/>
          <w:sz w:val="36"/>
          <w:szCs w:val="36"/>
        </w:rPr>
      </w:pPr>
      <w:r>
        <w:rPr>
          <w:rFonts w:hint="eastAsia" w:ascii="黑体" w:hAnsi="黑体" w:eastAsia="黑体" w:cs="黑体"/>
          <w:spacing w:val="0"/>
          <w:sz w:val="36"/>
          <w:szCs w:val="36"/>
        </w:rPr>
        <w:t>三、投标报价</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0" w:line="600" w:lineRule="exact"/>
        <w:ind w:right="0" w:rightChars="0"/>
        <w:textAlignment w:val="auto"/>
        <w:rPr>
          <w:rFonts w:hint="eastAsia" w:ascii="仿宋_GB2312" w:hAnsi="仿宋_GB2312" w:eastAsia="仿宋_GB2312" w:cs="仿宋_GB2312"/>
          <w:spacing w:val="0"/>
          <w:sz w:val="30"/>
          <w:szCs w:val="30"/>
        </w:rPr>
      </w:pPr>
      <w:r>
        <w:rPr>
          <w:rFonts w:hint="eastAsia" w:ascii="仿宋_GB2312" w:hAnsi="仿宋_GB2312" w:eastAsia="仿宋_GB2312" w:cs="仿宋_GB2312"/>
          <w:spacing w:val="0"/>
          <w:sz w:val="30"/>
          <w:szCs w:val="30"/>
          <w:lang w:eastAsia="zh-CN"/>
        </w:rPr>
        <w:t>（</w:t>
      </w:r>
      <w:r>
        <w:rPr>
          <w:rFonts w:hint="eastAsia" w:ascii="仿宋_GB2312" w:hAnsi="仿宋_GB2312" w:eastAsia="仿宋_GB2312" w:cs="仿宋_GB2312"/>
          <w:spacing w:val="0"/>
          <w:sz w:val="30"/>
          <w:szCs w:val="30"/>
          <w:lang w:val="en-US" w:eastAsia="zh-CN"/>
        </w:rPr>
        <w:t>七</w:t>
      </w:r>
      <w:r>
        <w:rPr>
          <w:rFonts w:hint="eastAsia" w:ascii="仿宋_GB2312" w:hAnsi="仿宋_GB2312" w:eastAsia="仿宋_GB2312" w:cs="仿宋_GB2312"/>
          <w:spacing w:val="0"/>
          <w:sz w:val="30"/>
          <w:szCs w:val="30"/>
          <w:lang w:eastAsia="zh-CN"/>
        </w:rPr>
        <w:t>）</w:t>
      </w:r>
      <w:r>
        <w:rPr>
          <w:rFonts w:hint="eastAsia" w:ascii="仿宋_GB2312" w:hAnsi="仿宋_GB2312" w:eastAsia="仿宋_GB2312" w:cs="仿宋_GB2312"/>
          <w:spacing w:val="0"/>
          <w:sz w:val="30"/>
          <w:szCs w:val="30"/>
        </w:rPr>
        <w:t>投标报价应包括招标文件所确定的招标范围内所有建筑物及构筑物的拆除及其它要求的全部内容，以及为完成上述内容所必须的各项应缴的全部费用。</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0" w:line="600" w:lineRule="exact"/>
        <w:ind w:right="0" w:rightChars="0"/>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rPr>
        <w:t>（八）投标报价方式本工程项目采用固定总价报价。投标人应充分考虑施工工期间市场风险和国家政策性调整风险系数、税金等所有关于报价方面的相关因素，并计入总报价</w:t>
      </w:r>
      <w:r>
        <w:rPr>
          <w:rFonts w:hint="eastAsia" w:ascii="仿宋_GB2312" w:hAnsi="仿宋_GB2312" w:eastAsia="仿宋_GB2312" w:cs="仿宋_GB2312"/>
          <w:spacing w:val="0"/>
          <w:sz w:val="30"/>
          <w:szCs w:val="30"/>
          <w:lang w:eastAsia="zh-CN"/>
        </w:rPr>
        <w:t>。</w:t>
      </w:r>
      <w:bookmarkStart w:id="0" w:name="_GoBack"/>
      <w:bookmarkEnd w:id="0"/>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0" w:line="600" w:lineRule="exact"/>
        <w:ind w:right="0" w:rightChars="0"/>
        <w:textAlignment w:val="auto"/>
        <w:rPr>
          <w:rFonts w:hint="eastAsia" w:ascii="仿宋_GB2312" w:hAnsi="仿宋_GB2312" w:eastAsia="仿宋_GB2312" w:cs="仿宋_GB2312"/>
          <w:spacing w:val="0"/>
          <w:sz w:val="30"/>
          <w:szCs w:val="30"/>
        </w:rPr>
      </w:pPr>
      <w:r>
        <w:rPr>
          <w:rFonts w:hint="eastAsia" w:ascii="仿宋_GB2312" w:hAnsi="仿宋_GB2312" w:eastAsia="仿宋_GB2312" w:cs="仿宋_GB2312"/>
          <w:spacing w:val="0"/>
          <w:sz w:val="30"/>
          <w:szCs w:val="30"/>
        </w:rPr>
        <w:t>（十）投标报价编制依据及要求</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0" w:line="600" w:lineRule="exact"/>
        <w:ind w:right="0" w:rightChars="0"/>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rPr>
        <w:t>按照总平面图中标注的拆除范围和相关说明、现场勘探的现状、本文件及有关书面答疑要求，自主报价。</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600" w:lineRule="exact"/>
        <w:ind w:leftChars="0" w:right="759" w:rightChars="0"/>
        <w:jc w:val="center"/>
        <w:textAlignment w:val="auto"/>
        <w:rPr>
          <w:rFonts w:hint="eastAsia" w:ascii="黑体" w:hAnsi="黑体" w:eastAsia="黑体" w:cs="黑体"/>
          <w:spacing w:val="0"/>
          <w:sz w:val="36"/>
          <w:szCs w:val="36"/>
        </w:rPr>
      </w:pPr>
      <w:r>
        <w:rPr>
          <w:rFonts w:hint="eastAsia" w:ascii="黑体" w:hAnsi="黑体" w:eastAsia="黑体" w:cs="黑体"/>
          <w:spacing w:val="0"/>
          <w:sz w:val="36"/>
          <w:szCs w:val="36"/>
        </w:rPr>
        <w:t>四、投标文件</w:t>
      </w:r>
    </w:p>
    <w:p>
      <w:pPr>
        <w:pStyle w:val="3"/>
        <w:keepNext w:val="0"/>
        <w:keepLines w:val="0"/>
        <w:pageBreakBefore w:val="0"/>
        <w:widowControl w:val="0"/>
        <w:numPr>
          <w:ilvl w:val="0"/>
          <w:numId w:val="0"/>
        </w:numPr>
        <w:tabs>
          <w:tab w:val="left" w:pos="6739"/>
        </w:tabs>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rPr>
      </w:pPr>
      <w:r>
        <w:rPr>
          <w:rFonts w:hint="eastAsia" w:ascii="仿宋_GB2312" w:hAnsi="仿宋_GB2312" w:eastAsia="仿宋_GB2312" w:cs="仿宋_GB2312"/>
          <w:spacing w:val="0"/>
          <w:sz w:val="30"/>
          <w:szCs w:val="30"/>
        </w:rPr>
        <w:t>（十一）投标单位应认真检查招标文件的内容是否齐全，如有遗漏请于递交招标文件截止日前向招标人索取，否则责任自负。同时应阅读招标文件所有的内容，未严格按招标文件要求编制的投标文件将被拒绝（或视为废标）。</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rPr>
        <w:t>（十二）投标文件应包括下列1</w:t>
      </w:r>
      <w:r>
        <w:rPr>
          <w:rFonts w:hint="eastAsia" w:ascii="仿宋_GB2312" w:hAnsi="仿宋_GB2312" w:eastAsia="仿宋_GB2312" w:cs="仿宋_GB2312"/>
          <w:spacing w:val="0"/>
          <w:sz w:val="30"/>
          <w:szCs w:val="30"/>
          <w:lang w:val="en-US" w:eastAsia="zh-CN"/>
        </w:rPr>
        <w:t>-5</w:t>
      </w:r>
      <w:r>
        <w:rPr>
          <w:rFonts w:hint="eastAsia" w:ascii="仿宋_GB2312" w:hAnsi="仿宋_GB2312" w:eastAsia="仿宋_GB2312" w:cs="仿宋_GB2312"/>
          <w:spacing w:val="0"/>
          <w:sz w:val="30"/>
          <w:szCs w:val="30"/>
        </w:rPr>
        <w:t>条内容：</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rPr>
        <w:t>1、</w:t>
      </w:r>
      <w:r>
        <w:rPr>
          <w:rFonts w:hint="eastAsia" w:ascii="仿宋_GB2312" w:hAnsi="仿宋_GB2312" w:eastAsia="仿宋_GB2312" w:cs="仿宋_GB2312"/>
          <w:spacing w:val="0"/>
          <w:sz w:val="30"/>
          <w:szCs w:val="30"/>
          <w:lang w:val="en-US" w:eastAsia="zh-CN"/>
        </w:rPr>
        <w:t>报价文件</w:t>
      </w:r>
      <w:r>
        <w:rPr>
          <w:rFonts w:hint="eastAsia" w:ascii="仿宋_GB2312" w:hAnsi="仿宋_GB2312" w:eastAsia="仿宋_GB2312" w:cs="仿宋_GB2312"/>
          <w:spacing w:val="0"/>
          <w:sz w:val="30"/>
          <w:szCs w:val="30"/>
        </w:rPr>
        <w:t>；</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rPr>
        <w:t>2、授权委托书（如有授权）；</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rPr>
        <w:t>3、投标报价组成明细表；</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rPr>
        <w:t>4、计划投入的主要施工机械设备表、主要施工人员表；</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rPr>
      </w:pPr>
      <w:r>
        <w:rPr>
          <w:rFonts w:hint="eastAsia" w:ascii="仿宋_GB2312" w:hAnsi="仿宋_GB2312" w:eastAsia="仿宋_GB2312" w:cs="仿宋_GB2312"/>
          <w:spacing w:val="0"/>
          <w:sz w:val="30"/>
          <w:szCs w:val="30"/>
        </w:rPr>
        <w:t>5、企业资质证书、技术负责人职称证书等材料的复印件，复印件要求加盖公章；</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0" w:line="600" w:lineRule="exact"/>
        <w:ind w:leftChars="0" w:right="0" w:rightChars="0"/>
        <w:jc w:val="both"/>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rPr>
        <w:t>（十三）招标文件提供的文件表式投标人必须使用。但表式可以按同样格式进行扩展。</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0" w:line="600" w:lineRule="exact"/>
        <w:ind w:leftChars="0" w:right="0" w:rightChars="0"/>
        <w:jc w:val="both"/>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rPr>
        <w:t>（十四）投标文件正本必须打印或用不能擦去的墨水书写，投标文件副本可以复印。投标文件的正本、副本都应分别装订成册，并在封面上正确标明“正本”、“副本”字样。装订采用左侧固定装订方式（胶装），不得采用活页装订，投标文件应编制目录、逐页标注连续页码。投标文件正本与副本内容不一致时，以正本为准。</w:t>
      </w:r>
    </w:p>
    <w:p>
      <w:pPr>
        <w:pStyle w:val="3"/>
        <w:keepNext w:val="0"/>
        <w:keepLines w:val="0"/>
        <w:pageBreakBefore w:val="0"/>
        <w:widowControl w:val="0"/>
        <w:numPr>
          <w:ilvl w:val="0"/>
          <w:numId w:val="0"/>
        </w:numPr>
        <w:tabs>
          <w:tab w:val="left" w:pos="6799"/>
        </w:tabs>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rPr>
      </w:pPr>
      <w:r>
        <w:rPr>
          <w:rFonts w:hint="eastAsia" w:ascii="仿宋_GB2312" w:hAnsi="仿宋_GB2312" w:eastAsia="仿宋_GB2312" w:cs="仿宋_GB2312"/>
          <w:spacing w:val="0"/>
          <w:sz w:val="30"/>
          <w:szCs w:val="30"/>
        </w:rPr>
        <w:t>（十五）全套投标文件应无修改和行间插字。如有修改，须在修改处和行间插字加盖投标人法定代表人或其代理人的印鉴。</w:t>
      </w:r>
    </w:p>
    <w:p>
      <w:pPr>
        <w:pStyle w:val="7"/>
        <w:keepNext w:val="0"/>
        <w:keepLines w:val="0"/>
        <w:pageBreakBefore w:val="0"/>
        <w:widowControl w:val="0"/>
        <w:numPr>
          <w:ilvl w:val="0"/>
          <w:numId w:val="0"/>
        </w:numPr>
        <w:tabs>
          <w:tab w:val="left" w:pos="819"/>
          <w:tab w:val="left" w:pos="820"/>
          <w:tab w:val="left" w:pos="4279"/>
        </w:tabs>
        <w:kinsoku/>
        <w:wordWrap/>
        <w:overflowPunct/>
        <w:topLinePunct w:val="0"/>
        <w:autoSpaceDE w:val="0"/>
        <w:autoSpaceDN w:val="0"/>
        <w:bidi w:val="0"/>
        <w:adjustRightInd/>
        <w:snapToGrid/>
        <w:spacing w:before="0" w:after="0" w:line="600" w:lineRule="exact"/>
        <w:ind w:leftChars="0" w:right="0" w:rightChars="0"/>
        <w:jc w:val="left"/>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rPr>
        <w:t>（十六）投标有限期</w:t>
      </w:r>
    </w:p>
    <w:p>
      <w:pPr>
        <w:pStyle w:val="7"/>
        <w:keepNext w:val="0"/>
        <w:keepLines w:val="0"/>
        <w:pageBreakBefore w:val="0"/>
        <w:widowControl w:val="0"/>
        <w:numPr>
          <w:ilvl w:val="0"/>
          <w:numId w:val="0"/>
        </w:numPr>
        <w:tabs>
          <w:tab w:val="left" w:pos="819"/>
          <w:tab w:val="left" w:pos="820"/>
          <w:tab w:val="left" w:pos="4279"/>
        </w:tabs>
        <w:kinsoku/>
        <w:wordWrap/>
        <w:overflowPunct/>
        <w:topLinePunct w:val="0"/>
        <w:autoSpaceDE w:val="0"/>
        <w:autoSpaceDN w:val="0"/>
        <w:bidi w:val="0"/>
        <w:adjustRightInd/>
        <w:snapToGrid/>
        <w:spacing w:before="0" w:after="0" w:line="600" w:lineRule="exact"/>
        <w:ind w:leftChars="0" w:right="0" w:rightChars="0"/>
        <w:jc w:val="left"/>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rPr>
        <w:t>投标文件自投标截止时间起至前附表投标须知规定的时间内有效。</w:t>
      </w:r>
    </w:p>
    <w:p>
      <w:pPr>
        <w:pStyle w:val="7"/>
        <w:keepNext w:val="0"/>
        <w:keepLines w:val="0"/>
        <w:pageBreakBefore w:val="0"/>
        <w:widowControl w:val="0"/>
        <w:numPr>
          <w:ilvl w:val="0"/>
          <w:numId w:val="0"/>
        </w:numPr>
        <w:tabs>
          <w:tab w:val="left" w:pos="819"/>
          <w:tab w:val="left" w:pos="820"/>
          <w:tab w:val="left" w:pos="4279"/>
        </w:tabs>
        <w:kinsoku/>
        <w:wordWrap/>
        <w:overflowPunct/>
        <w:topLinePunct w:val="0"/>
        <w:autoSpaceDE w:val="0"/>
        <w:autoSpaceDN w:val="0"/>
        <w:bidi w:val="0"/>
        <w:adjustRightInd/>
        <w:snapToGrid/>
        <w:spacing w:before="0" w:after="0" w:line="600" w:lineRule="exact"/>
        <w:ind w:leftChars="0" w:right="0" w:rightChars="0"/>
        <w:jc w:val="left"/>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rPr>
        <w:t>（十七）投标保证金</w:t>
      </w:r>
    </w:p>
    <w:p>
      <w:pPr>
        <w:pStyle w:val="7"/>
        <w:keepNext w:val="0"/>
        <w:keepLines w:val="0"/>
        <w:pageBreakBefore w:val="0"/>
        <w:widowControl w:val="0"/>
        <w:numPr>
          <w:ilvl w:val="0"/>
          <w:numId w:val="0"/>
        </w:numPr>
        <w:tabs>
          <w:tab w:val="left" w:pos="819"/>
          <w:tab w:val="left" w:pos="820"/>
          <w:tab w:val="left" w:pos="4279"/>
        </w:tabs>
        <w:kinsoku/>
        <w:wordWrap/>
        <w:overflowPunct/>
        <w:topLinePunct w:val="0"/>
        <w:autoSpaceDE w:val="0"/>
        <w:autoSpaceDN w:val="0"/>
        <w:bidi w:val="0"/>
        <w:adjustRightInd/>
        <w:snapToGrid/>
        <w:spacing w:before="0" w:after="0" w:line="600" w:lineRule="exact"/>
        <w:ind w:leftChars="0" w:right="0" w:rightChars="0"/>
        <w:jc w:val="left"/>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lang w:val="en-US" w:eastAsia="zh-CN"/>
        </w:rPr>
        <w:t>1.</w:t>
      </w:r>
      <w:r>
        <w:rPr>
          <w:rFonts w:hint="eastAsia" w:ascii="仿宋_GB2312" w:hAnsi="仿宋_GB2312" w:eastAsia="仿宋_GB2312" w:cs="仿宋_GB2312"/>
          <w:spacing w:val="0"/>
          <w:sz w:val="30"/>
          <w:szCs w:val="30"/>
        </w:rPr>
        <w:t>投标人投标时须按投标须知的要求向招标人交纳投标保证金；</w:t>
      </w:r>
    </w:p>
    <w:p>
      <w:pPr>
        <w:pStyle w:val="7"/>
        <w:keepNext w:val="0"/>
        <w:keepLines w:val="0"/>
        <w:pageBreakBefore w:val="0"/>
        <w:widowControl w:val="0"/>
        <w:numPr>
          <w:ilvl w:val="0"/>
          <w:numId w:val="0"/>
        </w:numPr>
        <w:tabs>
          <w:tab w:val="left" w:pos="819"/>
          <w:tab w:val="left" w:pos="820"/>
          <w:tab w:val="left" w:pos="4279"/>
        </w:tabs>
        <w:kinsoku/>
        <w:wordWrap/>
        <w:overflowPunct/>
        <w:topLinePunct w:val="0"/>
        <w:autoSpaceDE w:val="0"/>
        <w:autoSpaceDN w:val="0"/>
        <w:bidi w:val="0"/>
        <w:adjustRightInd/>
        <w:snapToGrid/>
        <w:spacing w:before="0" w:after="0" w:line="600" w:lineRule="exact"/>
        <w:ind w:leftChars="0" w:right="0" w:rightChars="0"/>
        <w:jc w:val="left"/>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lang w:val="en-US" w:eastAsia="zh-CN"/>
        </w:rPr>
        <w:t>2.</w:t>
      </w:r>
      <w:r>
        <w:rPr>
          <w:rFonts w:hint="eastAsia" w:ascii="仿宋_GB2312" w:hAnsi="仿宋_GB2312" w:eastAsia="仿宋_GB2312" w:cs="仿宋_GB2312"/>
          <w:spacing w:val="0"/>
          <w:sz w:val="30"/>
          <w:szCs w:val="30"/>
        </w:rPr>
        <w:t>投标单位的投标保证金在招标单位和中标单位签订合同后7日内予以退回（无息）。</w:t>
      </w:r>
    </w:p>
    <w:p>
      <w:pPr>
        <w:pStyle w:val="7"/>
        <w:keepNext w:val="0"/>
        <w:keepLines w:val="0"/>
        <w:pageBreakBefore w:val="0"/>
        <w:widowControl w:val="0"/>
        <w:numPr>
          <w:ilvl w:val="0"/>
          <w:numId w:val="0"/>
        </w:numPr>
        <w:tabs>
          <w:tab w:val="left" w:pos="819"/>
          <w:tab w:val="left" w:pos="820"/>
          <w:tab w:val="left" w:pos="4279"/>
        </w:tabs>
        <w:kinsoku/>
        <w:wordWrap/>
        <w:overflowPunct/>
        <w:topLinePunct w:val="0"/>
        <w:autoSpaceDE w:val="0"/>
        <w:autoSpaceDN w:val="0"/>
        <w:bidi w:val="0"/>
        <w:adjustRightInd/>
        <w:snapToGrid/>
        <w:spacing w:before="0" w:after="0" w:line="600" w:lineRule="exact"/>
        <w:ind w:leftChars="0" w:right="0" w:rightChars="0"/>
        <w:jc w:val="left"/>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lang w:val="en-US" w:eastAsia="zh-CN"/>
        </w:rPr>
        <w:t>3.</w:t>
      </w:r>
      <w:r>
        <w:rPr>
          <w:rFonts w:hint="eastAsia" w:ascii="仿宋_GB2312" w:hAnsi="仿宋_GB2312" w:eastAsia="仿宋_GB2312" w:cs="仿宋_GB2312"/>
          <w:spacing w:val="0"/>
          <w:sz w:val="30"/>
          <w:szCs w:val="30"/>
        </w:rPr>
        <w:t>投标人出现下列情况，招标人有权取消其中标资格，并没收其投标保证金。</w:t>
      </w:r>
    </w:p>
    <w:p>
      <w:pPr>
        <w:pStyle w:val="7"/>
        <w:keepNext w:val="0"/>
        <w:keepLines w:val="0"/>
        <w:pageBreakBefore w:val="0"/>
        <w:widowControl w:val="0"/>
        <w:numPr>
          <w:ilvl w:val="0"/>
          <w:numId w:val="0"/>
        </w:numPr>
        <w:tabs>
          <w:tab w:val="left" w:pos="819"/>
          <w:tab w:val="left" w:pos="820"/>
          <w:tab w:val="left" w:pos="4279"/>
        </w:tabs>
        <w:kinsoku/>
        <w:wordWrap/>
        <w:overflowPunct/>
        <w:topLinePunct w:val="0"/>
        <w:autoSpaceDE w:val="0"/>
        <w:autoSpaceDN w:val="0"/>
        <w:bidi w:val="0"/>
        <w:adjustRightInd/>
        <w:snapToGrid/>
        <w:spacing w:before="0" w:after="0" w:line="600" w:lineRule="exact"/>
        <w:ind w:leftChars="0" w:right="0" w:rightChars="0"/>
        <w:jc w:val="left"/>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rPr>
        <w:t>（1）投标人在投标有效期内撤回其投标文件；</w:t>
      </w:r>
    </w:p>
    <w:p>
      <w:pPr>
        <w:pStyle w:val="7"/>
        <w:keepNext w:val="0"/>
        <w:keepLines w:val="0"/>
        <w:pageBreakBefore w:val="0"/>
        <w:widowControl w:val="0"/>
        <w:numPr>
          <w:ilvl w:val="0"/>
          <w:numId w:val="0"/>
        </w:numPr>
        <w:tabs>
          <w:tab w:val="left" w:pos="819"/>
          <w:tab w:val="left" w:pos="820"/>
          <w:tab w:val="left" w:pos="4279"/>
        </w:tabs>
        <w:kinsoku/>
        <w:wordWrap/>
        <w:overflowPunct/>
        <w:topLinePunct w:val="0"/>
        <w:autoSpaceDE w:val="0"/>
        <w:autoSpaceDN w:val="0"/>
        <w:bidi w:val="0"/>
        <w:adjustRightInd/>
        <w:snapToGrid/>
        <w:spacing w:before="0" w:after="0" w:line="600" w:lineRule="exact"/>
        <w:ind w:leftChars="0" w:right="0" w:rightChars="0"/>
        <w:jc w:val="left"/>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rPr>
        <w:t>（2）中标人无正当理由拒绝签定合同。</w:t>
      </w:r>
    </w:p>
    <w:p>
      <w:pPr>
        <w:pStyle w:val="7"/>
        <w:keepNext w:val="0"/>
        <w:keepLines w:val="0"/>
        <w:pageBreakBefore w:val="0"/>
        <w:widowControl w:val="0"/>
        <w:numPr>
          <w:ilvl w:val="0"/>
          <w:numId w:val="0"/>
        </w:numPr>
        <w:tabs>
          <w:tab w:val="left" w:pos="819"/>
          <w:tab w:val="left" w:pos="820"/>
          <w:tab w:val="left" w:pos="4279"/>
        </w:tabs>
        <w:kinsoku/>
        <w:wordWrap/>
        <w:overflowPunct/>
        <w:topLinePunct w:val="0"/>
        <w:autoSpaceDE w:val="0"/>
        <w:autoSpaceDN w:val="0"/>
        <w:bidi w:val="0"/>
        <w:adjustRightInd/>
        <w:snapToGrid/>
        <w:spacing w:before="0" w:after="0" w:line="600" w:lineRule="exact"/>
        <w:ind w:leftChars="0" w:right="0" w:rightChars="0"/>
        <w:jc w:val="left"/>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rPr>
        <w:t>（3）投标人弄虚作假、相互串标、哄抬标价的。</w:t>
      </w:r>
    </w:p>
    <w:p>
      <w:pPr>
        <w:pStyle w:val="7"/>
        <w:keepNext w:val="0"/>
        <w:keepLines w:val="0"/>
        <w:pageBreakBefore w:val="0"/>
        <w:widowControl w:val="0"/>
        <w:numPr>
          <w:ilvl w:val="0"/>
          <w:numId w:val="0"/>
        </w:numPr>
        <w:tabs>
          <w:tab w:val="left" w:pos="819"/>
          <w:tab w:val="left" w:pos="820"/>
          <w:tab w:val="left" w:pos="4279"/>
        </w:tabs>
        <w:kinsoku/>
        <w:wordWrap/>
        <w:overflowPunct/>
        <w:topLinePunct w:val="0"/>
        <w:autoSpaceDE w:val="0"/>
        <w:autoSpaceDN w:val="0"/>
        <w:bidi w:val="0"/>
        <w:adjustRightInd/>
        <w:snapToGrid/>
        <w:spacing w:before="0" w:after="0" w:line="600" w:lineRule="exact"/>
        <w:ind w:leftChars="0" w:right="0" w:rightChars="0"/>
        <w:jc w:val="left"/>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rPr>
        <w:t>（十八）现场勘探和答疑安排</w:t>
      </w:r>
    </w:p>
    <w:p>
      <w:pPr>
        <w:pStyle w:val="7"/>
        <w:keepNext w:val="0"/>
        <w:keepLines w:val="0"/>
        <w:pageBreakBefore w:val="0"/>
        <w:widowControl w:val="0"/>
        <w:numPr>
          <w:ilvl w:val="0"/>
          <w:numId w:val="0"/>
        </w:numPr>
        <w:tabs>
          <w:tab w:val="left" w:pos="819"/>
          <w:tab w:val="left" w:pos="820"/>
          <w:tab w:val="left" w:pos="4279"/>
        </w:tabs>
        <w:kinsoku/>
        <w:wordWrap/>
        <w:overflowPunct/>
        <w:topLinePunct w:val="0"/>
        <w:autoSpaceDE w:val="0"/>
        <w:autoSpaceDN w:val="0"/>
        <w:bidi w:val="0"/>
        <w:adjustRightInd/>
        <w:snapToGrid/>
        <w:spacing w:before="0" w:after="0" w:line="600" w:lineRule="exact"/>
        <w:ind w:leftChars="0" w:right="0" w:rightChars="0"/>
        <w:jc w:val="left"/>
        <w:textAlignment w:val="auto"/>
        <w:rPr>
          <w:rFonts w:hint="eastAsia" w:ascii="仿宋_GB2312" w:hAnsi="仿宋_GB2312" w:eastAsia="仿宋_GB2312" w:cs="仿宋_GB2312"/>
          <w:spacing w:val="0"/>
          <w:sz w:val="30"/>
          <w:szCs w:val="30"/>
        </w:rPr>
      </w:pPr>
      <w:r>
        <w:rPr>
          <w:rFonts w:hint="eastAsia" w:ascii="仿宋_GB2312" w:hAnsi="仿宋_GB2312" w:eastAsia="仿宋_GB2312" w:cs="仿宋_GB2312"/>
          <w:spacing w:val="0"/>
          <w:sz w:val="30"/>
          <w:szCs w:val="30"/>
          <w:lang w:val="en-US" w:eastAsia="zh-CN"/>
        </w:rPr>
        <w:t>1.</w:t>
      </w:r>
      <w:r>
        <w:rPr>
          <w:rFonts w:hint="eastAsia" w:ascii="仿宋_GB2312" w:hAnsi="仿宋_GB2312" w:eastAsia="仿宋_GB2312" w:cs="仿宋_GB2312"/>
          <w:spacing w:val="0"/>
          <w:sz w:val="30"/>
          <w:szCs w:val="30"/>
        </w:rPr>
        <w:t>投标人对工程施工现场和周围环境</w:t>
      </w:r>
      <w:r>
        <w:rPr>
          <w:rFonts w:hint="eastAsia" w:ascii="仿宋_GB2312" w:hAnsi="仿宋_GB2312" w:eastAsia="仿宋_GB2312" w:cs="仿宋_GB2312"/>
          <w:spacing w:val="0"/>
          <w:sz w:val="30"/>
          <w:szCs w:val="30"/>
          <w:lang w:val="en-US" w:eastAsia="zh-CN"/>
        </w:rPr>
        <w:t>自行</w:t>
      </w:r>
      <w:r>
        <w:rPr>
          <w:rFonts w:hint="eastAsia" w:ascii="仿宋_GB2312" w:hAnsi="仿宋_GB2312" w:eastAsia="仿宋_GB2312" w:cs="仿宋_GB2312"/>
          <w:spacing w:val="0"/>
          <w:sz w:val="30"/>
          <w:szCs w:val="30"/>
        </w:rPr>
        <w:t>踏勘，踏勘现场所发生的费用由投标人承担。</w:t>
      </w:r>
    </w:p>
    <w:p>
      <w:pPr>
        <w:keepNext w:val="0"/>
        <w:keepLines w:val="0"/>
        <w:pageBreakBefore w:val="0"/>
        <w:widowControl w:val="0"/>
        <w:kinsoku/>
        <w:wordWrap/>
        <w:overflowPunct/>
        <w:topLinePunct w:val="0"/>
        <w:autoSpaceDE w:val="0"/>
        <w:autoSpaceDN w:val="0"/>
        <w:bidi w:val="0"/>
        <w:adjustRightInd/>
        <w:snapToGrid/>
        <w:spacing w:before="0" w:after="0" w:line="600" w:lineRule="exact"/>
        <w:ind w:right="0" w:firstLine="0"/>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lang w:val="en-US" w:eastAsia="zh-CN"/>
        </w:rPr>
        <w:t>2.</w:t>
      </w:r>
      <w:r>
        <w:rPr>
          <w:rFonts w:hint="eastAsia" w:ascii="仿宋_GB2312" w:hAnsi="仿宋_GB2312" w:eastAsia="仿宋_GB2312" w:cs="仿宋_GB2312"/>
          <w:spacing w:val="0"/>
          <w:sz w:val="30"/>
          <w:szCs w:val="30"/>
        </w:rPr>
        <w:t>投标人可以通过书面形式对就有关问题向招标人提出疑问，招标人将对认为有必要解答的问题进行解答，并以书面形式通知所有招标文件收受人。</w:t>
      </w:r>
    </w:p>
    <w:p>
      <w:pPr>
        <w:keepNext w:val="0"/>
        <w:keepLines w:val="0"/>
        <w:pageBreakBefore w:val="0"/>
        <w:widowControl w:val="0"/>
        <w:kinsoku/>
        <w:wordWrap/>
        <w:overflowPunct/>
        <w:topLinePunct w:val="0"/>
        <w:autoSpaceDE w:val="0"/>
        <w:autoSpaceDN w:val="0"/>
        <w:bidi w:val="0"/>
        <w:adjustRightInd/>
        <w:snapToGrid/>
        <w:spacing w:before="0" w:after="0" w:line="600" w:lineRule="exact"/>
        <w:ind w:right="0" w:firstLine="0"/>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lang w:val="en-US" w:eastAsia="zh-CN"/>
        </w:rPr>
        <w:t>3.</w:t>
      </w:r>
      <w:r>
        <w:rPr>
          <w:rFonts w:hint="eastAsia" w:ascii="仿宋_GB2312" w:hAnsi="仿宋_GB2312" w:eastAsia="仿宋_GB2312" w:cs="仿宋_GB2312"/>
          <w:spacing w:val="0"/>
          <w:sz w:val="30"/>
          <w:szCs w:val="30"/>
        </w:rPr>
        <w:t>由答疑而产生的对招标文件内容的修改，招标人将按本文件第（六）条的规定，以补充通知的方式发出。</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rPr>
      </w:pPr>
      <w:r>
        <w:rPr>
          <w:rFonts w:hint="eastAsia" w:ascii="仿宋_GB2312" w:hAnsi="仿宋_GB2312" w:eastAsia="仿宋_GB2312" w:cs="仿宋_GB2312"/>
          <w:spacing w:val="0"/>
          <w:sz w:val="30"/>
          <w:szCs w:val="30"/>
        </w:rPr>
        <w:t>（十九）投标文件的密封与标志</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600" w:lineRule="exact"/>
        <w:ind w:leftChars="0" w:right="759" w:rightChars="0"/>
        <w:jc w:val="center"/>
        <w:textAlignment w:val="auto"/>
        <w:rPr>
          <w:rFonts w:hint="eastAsia" w:ascii="黑体" w:hAnsi="黑体" w:eastAsia="黑体" w:cs="黑体"/>
          <w:spacing w:val="0"/>
          <w:sz w:val="36"/>
          <w:szCs w:val="36"/>
          <w:lang w:eastAsia="zh-CN"/>
        </w:rPr>
      </w:pPr>
      <w:r>
        <w:rPr>
          <w:rFonts w:hint="eastAsia" w:ascii="黑体" w:hAnsi="黑体" w:eastAsia="黑体" w:cs="黑体"/>
          <w:spacing w:val="0"/>
          <w:sz w:val="36"/>
          <w:szCs w:val="36"/>
        </w:rPr>
        <w:t>五、投标文件的密封和递交</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rPr>
      </w:pPr>
      <w:r>
        <w:rPr>
          <w:rFonts w:hint="eastAsia" w:ascii="仿宋_GB2312" w:hAnsi="仿宋_GB2312" w:eastAsia="仿宋_GB2312" w:cs="仿宋_GB2312"/>
          <w:spacing w:val="0"/>
          <w:sz w:val="30"/>
          <w:szCs w:val="30"/>
        </w:rPr>
        <w:t>1、招标人不提供统一标袋，投标人自行准备密封袋及封条。投标人需将所有投标文件根据上述规定的装订方式和份数进行密封，并在封条上加盖投标人公章。</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rPr>
      </w:pPr>
      <w:r>
        <w:rPr>
          <w:rFonts w:hint="eastAsia" w:ascii="仿宋_GB2312" w:hAnsi="仿宋_GB2312" w:eastAsia="仿宋_GB2312" w:cs="仿宋_GB2312"/>
          <w:spacing w:val="0"/>
          <w:sz w:val="30"/>
          <w:szCs w:val="30"/>
        </w:rPr>
        <w:t>2、所有封袋上都应写明投标单位名称和工程名称。</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rPr>
      </w:pPr>
      <w:r>
        <w:rPr>
          <w:rFonts w:hint="eastAsia" w:ascii="仿宋_GB2312" w:hAnsi="仿宋_GB2312" w:eastAsia="仿宋_GB2312" w:cs="仿宋_GB2312"/>
          <w:spacing w:val="0"/>
          <w:sz w:val="30"/>
          <w:szCs w:val="30"/>
        </w:rPr>
        <w:t>3、如果投标单位未按上述规定提交的投标文件将被拒绝。</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rPr>
        <w:t>（二十）投标截止时间</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rPr>
      </w:pPr>
      <w:r>
        <w:rPr>
          <w:rFonts w:hint="eastAsia" w:ascii="仿宋_GB2312" w:hAnsi="仿宋_GB2312" w:eastAsia="仿宋_GB2312" w:cs="仿宋_GB2312"/>
          <w:spacing w:val="0"/>
          <w:sz w:val="30"/>
          <w:szCs w:val="30"/>
        </w:rPr>
        <w:t>投标人须在前附表中规定的投标文件递交截止时间之前将投标文件递交给招标人。</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600" w:lineRule="exact"/>
        <w:ind w:leftChars="0" w:right="759" w:rightChars="0"/>
        <w:jc w:val="center"/>
        <w:textAlignment w:val="auto"/>
        <w:rPr>
          <w:rFonts w:hint="eastAsia" w:ascii="黑体" w:hAnsi="黑体" w:eastAsia="黑体" w:cs="黑体"/>
          <w:spacing w:val="0"/>
          <w:sz w:val="36"/>
          <w:szCs w:val="36"/>
        </w:rPr>
      </w:pPr>
      <w:r>
        <w:rPr>
          <w:rFonts w:hint="eastAsia" w:ascii="黑体" w:hAnsi="黑体" w:eastAsia="黑体" w:cs="黑体"/>
          <w:spacing w:val="0"/>
          <w:sz w:val="36"/>
          <w:szCs w:val="36"/>
        </w:rPr>
        <w:t>六、开标、评标和中标</w:t>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rPr>
      </w:pPr>
      <w:r>
        <w:rPr>
          <w:rFonts w:hint="eastAsia" w:ascii="仿宋_GB2312" w:hAnsi="仿宋_GB2312" w:eastAsia="仿宋_GB2312" w:cs="仿宋_GB2312"/>
          <w:spacing w:val="0"/>
          <w:sz w:val="30"/>
          <w:szCs w:val="30"/>
        </w:rPr>
        <w:t>（二十一）开标会按投标须知中规定的时间、地点公开进行，由招标人</w:t>
      </w:r>
      <w:r>
        <w:rPr>
          <w:rFonts w:hint="eastAsia" w:ascii="仿宋_GB2312" w:hAnsi="仿宋_GB2312" w:eastAsia="仿宋_GB2312" w:cs="仿宋_GB2312"/>
          <w:spacing w:val="0"/>
          <w:sz w:val="30"/>
          <w:szCs w:val="30"/>
          <w:lang w:val="en-US" w:eastAsia="zh-CN"/>
        </w:rPr>
        <w:t>代表</w:t>
      </w:r>
      <w:r>
        <w:rPr>
          <w:rFonts w:hint="eastAsia" w:ascii="仿宋_GB2312" w:hAnsi="仿宋_GB2312" w:eastAsia="仿宋_GB2312" w:cs="仿宋_GB2312"/>
          <w:spacing w:val="0"/>
          <w:sz w:val="30"/>
          <w:szCs w:val="30"/>
        </w:rPr>
        <w:t>主持，邀请所有投标人参加。</w:t>
      </w:r>
    </w:p>
    <w:p>
      <w:pPr>
        <w:pStyle w:val="3"/>
        <w:keepNext w:val="0"/>
        <w:keepLines w:val="0"/>
        <w:pageBreakBefore w:val="0"/>
        <w:widowControl w:val="0"/>
        <w:numPr>
          <w:ilvl w:val="0"/>
          <w:numId w:val="0"/>
        </w:numPr>
        <w:tabs>
          <w:tab w:val="left" w:pos="8039"/>
          <w:tab w:val="left" w:pos="11319"/>
        </w:tabs>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rPr>
      </w:pPr>
      <w:r>
        <w:rPr>
          <w:rFonts w:hint="eastAsia" w:ascii="仿宋_GB2312" w:hAnsi="仿宋_GB2312" w:eastAsia="仿宋_GB2312" w:cs="仿宋_GB2312"/>
          <w:spacing w:val="0"/>
          <w:sz w:val="30"/>
          <w:szCs w:val="30"/>
        </w:rPr>
        <w:t>（二十二）在开标时投标文件中出现下列情况之一的，将作为无效投标文件，不得进入评标。</w:t>
      </w:r>
    </w:p>
    <w:p>
      <w:pPr>
        <w:pStyle w:val="3"/>
        <w:keepNext w:val="0"/>
        <w:keepLines w:val="0"/>
        <w:pageBreakBefore w:val="0"/>
        <w:widowControl w:val="0"/>
        <w:numPr>
          <w:ilvl w:val="0"/>
          <w:numId w:val="0"/>
        </w:numPr>
        <w:tabs>
          <w:tab w:val="left" w:pos="8039"/>
          <w:tab w:val="left" w:pos="11319"/>
        </w:tabs>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rPr>
      </w:pPr>
      <w:r>
        <w:rPr>
          <w:rFonts w:hint="eastAsia" w:ascii="仿宋_GB2312" w:hAnsi="仿宋_GB2312" w:eastAsia="仿宋_GB2312" w:cs="仿宋_GB2312"/>
          <w:spacing w:val="0"/>
          <w:sz w:val="30"/>
          <w:szCs w:val="30"/>
          <w:lang w:val="en-US" w:eastAsia="zh-CN"/>
        </w:rPr>
        <w:t>1.</w:t>
      </w:r>
      <w:r>
        <w:rPr>
          <w:rFonts w:hint="eastAsia" w:ascii="仿宋_GB2312" w:hAnsi="仿宋_GB2312" w:eastAsia="仿宋_GB2312" w:cs="仿宋_GB2312"/>
          <w:spacing w:val="0"/>
          <w:sz w:val="30"/>
          <w:szCs w:val="30"/>
        </w:rPr>
        <w:t>投标文件中的投标函未加盖投标人的企业及企业法定代表人印章的，或者企业法定代表人委托代理人没有合法、有效的委托书（原件）及委托代理人印章的。</w:t>
      </w:r>
    </w:p>
    <w:p>
      <w:pPr>
        <w:pStyle w:val="3"/>
        <w:keepNext w:val="0"/>
        <w:keepLines w:val="0"/>
        <w:pageBreakBefore w:val="0"/>
        <w:widowControl w:val="0"/>
        <w:numPr>
          <w:ilvl w:val="0"/>
          <w:numId w:val="0"/>
        </w:numPr>
        <w:tabs>
          <w:tab w:val="left" w:pos="6919"/>
        </w:tabs>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lang w:val="en-US" w:eastAsia="zh-CN"/>
        </w:rPr>
        <w:t>2.</w:t>
      </w:r>
      <w:r>
        <w:rPr>
          <w:rFonts w:hint="eastAsia" w:ascii="仿宋_GB2312" w:hAnsi="仿宋_GB2312" w:eastAsia="仿宋_GB2312" w:cs="仿宋_GB2312"/>
          <w:spacing w:val="0"/>
          <w:sz w:val="30"/>
          <w:szCs w:val="30"/>
        </w:rPr>
        <w:t>关键内容字迹模糊、无法辨认的；</w:t>
      </w:r>
    </w:p>
    <w:p>
      <w:pPr>
        <w:pStyle w:val="3"/>
        <w:keepNext w:val="0"/>
        <w:keepLines w:val="0"/>
        <w:pageBreakBefore w:val="0"/>
        <w:widowControl w:val="0"/>
        <w:numPr>
          <w:ilvl w:val="0"/>
          <w:numId w:val="0"/>
        </w:numPr>
        <w:tabs>
          <w:tab w:val="left" w:pos="6919"/>
        </w:tabs>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lang w:val="en-US" w:eastAsia="zh-CN"/>
        </w:rPr>
        <w:t>3.</w:t>
      </w:r>
      <w:r>
        <w:rPr>
          <w:rFonts w:hint="eastAsia" w:ascii="仿宋_GB2312" w:hAnsi="仿宋_GB2312" w:eastAsia="仿宋_GB2312" w:cs="仿宋_GB2312"/>
          <w:spacing w:val="0"/>
          <w:sz w:val="30"/>
          <w:szCs w:val="30"/>
        </w:rPr>
        <w:t>投标人未按照招标文件的要求提供投标保证金的；</w:t>
      </w:r>
    </w:p>
    <w:p>
      <w:pPr>
        <w:pStyle w:val="3"/>
        <w:keepNext w:val="0"/>
        <w:keepLines w:val="0"/>
        <w:pageBreakBefore w:val="0"/>
        <w:widowControl w:val="0"/>
        <w:numPr>
          <w:ilvl w:val="0"/>
          <w:numId w:val="0"/>
        </w:numPr>
        <w:tabs>
          <w:tab w:val="left" w:pos="6919"/>
        </w:tabs>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rPr>
        <w:t>（二十三）评标由招标人组建的评标</w:t>
      </w:r>
      <w:r>
        <w:rPr>
          <w:rFonts w:hint="eastAsia" w:ascii="仿宋_GB2312" w:hAnsi="仿宋_GB2312" w:eastAsia="仿宋_GB2312" w:cs="仿宋_GB2312"/>
          <w:spacing w:val="0"/>
          <w:sz w:val="30"/>
          <w:szCs w:val="30"/>
          <w:lang w:val="en-US" w:eastAsia="zh-CN"/>
        </w:rPr>
        <w:t>小组</w:t>
      </w:r>
      <w:r>
        <w:rPr>
          <w:rFonts w:hint="eastAsia" w:ascii="仿宋_GB2312" w:hAnsi="仿宋_GB2312" w:eastAsia="仿宋_GB2312" w:cs="仿宋_GB2312"/>
          <w:spacing w:val="0"/>
          <w:sz w:val="30"/>
          <w:szCs w:val="30"/>
        </w:rPr>
        <w:t>负责。</w:t>
      </w:r>
    </w:p>
    <w:p>
      <w:pPr>
        <w:pStyle w:val="3"/>
        <w:keepNext w:val="0"/>
        <w:keepLines w:val="0"/>
        <w:pageBreakBefore w:val="0"/>
        <w:widowControl w:val="0"/>
        <w:numPr>
          <w:ilvl w:val="0"/>
          <w:numId w:val="0"/>
        </w:numPr>
        <w:tabs>
          <w:tab w:val="left" w:pos="6919"/>
        </w:tabs>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rPr>
        <w:t>（二十四）评标办法</w:t>
      </w:r>
    </w:p>
    <w:p>
      <w:pPr>
        <w:pStyle w:val="3"/>
        <w:keepNext w:val="0"/>
        <w:keepLines w:val="0"/>
        <w:pageBreakBefore w:val="0"/>
        <w:widowControl w:val="0"/>
        <w:numPr>
          <w:ilvl w:val="0"/>
          <w:numId w:val="0"/>
        </w:numPr>
        <w:tabs>
          <w:tab w:val="left" w:pos="6919"/>
        </w:tabs>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rPr>
        <w:t>评标办法：本工程评标办法为</w:t>
      </w:r>
      <w:r>
        <w:rPr>
          <w:rFonts w:hint="eastAsia" w:ascii="仿宋_GB2312" w:hAnsi="仿宋_GB2312" w:eastAsia="仿宋_GB2312" w:cs="仿宋_GB2312"/>
          <w:spacing w:val="0"/>
          <w:sz w:val="30"/>
          <w:szCs w:val="30"/>
          <w:lang w:val="en-US" w:eastAsia="zh-CN"/>
        </w:rPr>
        <w:t>最低投标价法</w:t>
      </w:r>
      <w:r>
        <w:rPr>
          <w:rFonts w:hint="eastAsia" w:ascii="仿宋_GB2312" w:hAnsi="仿宋_GB2312" w:eastAsia="仿宋_GB2312" w:cs="仿宋_GB2312"/>
          <w:spacing w:val="0"/>
          <w:sz w:val="30"/>
          <w:szCs w:val="30"/>
        </w:rPr>
        <w:t>。评标</w:t>
      </w:r>
      <w:r>
        <w:rPr>
          <w:rFonts w:hint="eastAsia" w:ascii="仿宋_GB2312" w:hAnsi="仿宋_GB2312" w:eastAsia="仿宋_GB2312" w:cs="仿宋_GB2312"/>
          <w:spacing w:val="0"/>
          <w:sz w:val="30"/>
          <w:szCs w:val="30"/>
          <w:lang w:val="en-US" w:eastAsia="zh-CN"/>
        </w:rPr>
        <w:t>小组在满足招标文件实质性要求的条件下，按照</w:t>
      </w:r>
      <w:r>
        <w:rPr>
          <w:rFonts w:hint="eastAsia" w:ascii="仿宋_GB2312" w:hAnsi="仿宋_GB2312" w:eastAsia="仿宋_GB2312" w:cs="仿宋_GB2312"/>
          <w:spacing w:val="0"/>
          <w:sz w:val="30"/>
          <w:szCs w:val="30"/>
        </w:rPr>
        <w:t>报价</w:t>
      </w:r>
      <w:r>
        <w:rPr>
          <w:rFonts w:hint="eastAsia" w:ascii="仿宋_GB2312" w:hAnsi="仿宋_GB2312" w:eastAsia="仿宋_GB2312" w:cs="仿宋_GB2312"/>
          <w:spacing w:val="0"/>
          <w:sz w:val="30"/>
          <w:szCs w:val="30"/>
          <w:lang w:val="en-US" w:eastAsia="zh-CN"/>
        </w:rPr>
        <w:t>排序确定</w:t>
      </w:r>
      <w:r>
        <w:rPr>
          <w:rFonts w:hint="eastAsia" w:ascii="仿宋_GB2312" w:hAnsi="仿宋_GB2312" w:eastAsia="仿宋_GB2312" w:cs="仿宋_GB2312"/>
          <w:spacing w:val="0"/>
          <w:sz w:val="30"/>
          <w:szCs w:val="30"/>
        </w:rPr>
        <w:t>中标侯选人。</w:t>
      </w:r>
    </w:p>
    <w:p>
      <w:pPr>
        <w:pStyle w:val="3"/>
        <w:keepNext w:val="0"/>
        <w:keepLines w:val="0"/>
        <w:pageBreakBefore w:val="0"/>
        <w:widowControl w:val="0"/>
        <w:kinsoku/>
        <w:wordWrap/>
        <w:overflowPunct/>
        <w:topLinePunct w:val="0"/>
        <w:autoSpaceDE w:val="0"/>
        <w:autoSpaceDN w:val="0"/>
        <w:bidi w:val="0"/>
        <w:adjustRightInd/>
        <w:snapToGrid/>
        <w:spacing w:before="0" w:line="600" w:lineRule="exact"/>
        <w:ind w:right="0" w:firstLine="0"/>
        <w:textAlignment w:val="auto"/>
        <w:rPr>
          <w:rFonts w:hint="eastAsia" w:ascii="仿宋_GB2312" w:hAnsi="仿宋_GB2312" w:eastAsia="仿宋_GB2312" w:cs="仿宋_GB2312"/>
          <w:spacing w:val="0"/>
          <w:sz w:val="30"/>
          <w:szCs w:val="30"/>
          <w:lang w:eastAsia="zh-CN"/>
        </w:rPr>
      </w:pPr>
      <w:r>
        <w:rPr>
          <w:rFonts w:hint="eastAsia" w:ascii="仿宋_GB2312" w:hAnsi="仿宋_GB2312" w:eastAsia="仿宋_GB2312" w:cs="仿宋_GB2312"/>
          <w:spacing w:val="0"/>
          <w:sz w:val="30"/>
          <w:szCs w:val="30"/>
        </w:rPr>
        <w:t>（二十五）招标人自确定中标人之日起</w:t>
      </w:r>
      <w:r>
        <w:rPr>
          <w:rFonts w:hint="eastAsia" w:ascii="仿宋_GB2312" w:hAnsi="仿宋_GB2312" w:eastAsia="仿宋_GB2312" w:cs="仿宋_GB2312"/>
          <w:spacing w:val="0"/>
          <w:sz w:val="30"/>
          <w:szCs w:val="30"/>
          <w:lang w:val="en-US" w:eastAsia="zh-CN"/>
        </w:rPr>
        <w:t>1</w:t>
      </w:r>
      <w:r>
        <w:rPr>
          <w:rFonts w:hint="eastAsia" w:ascii="仿宋_GB2312" w:hAnsi="仿宋_GB2312" w:eastAsia="仿宋_GB2312" w:cs="仿宋_GB2312"/>
          <w:spacing w:val="0"/>
          <w:sz w:val="30"/>
          <w:szCs w:val="30"/>
        </w:rPr>
        <w:t>日内，向中标单位出具中标书面通知书。</w:t>
      </w:r>
    </w:p>
    <w:p>
      <w:pPr>
        <w:pStyle w:val="3"/>
        <w:keepNext w:val="0"/>
        <w:keepLines w:val="0"/>
        <w:pageBreakBefore w:val="0"/>
        <w:widowControl w:val="0"/>
        <w:numPr>
          <w:ilvl w:val="0"/>
          <w:numId w:val="0"/>
        </w:numPr>
        <w:tabs>
          <w:tab w:val="left" w:pos="6799"/>
          <w:tab w:val="left" w:pos="7419"/>
          <w:tab w:val="left" w:pos="10459"/>
        </w:tabs>
        <w:kinsoku/>
        <w:wordWrap/>
        <w:overflowPunct/>
        <w:topLinePunct w:val="0"/>
        <w:autoSpaceDE w:val="0"/>
        <w:autoSpaceDN w:val="0"/>
        <w:bidi w:val="0"/>
        <w:adjustRightInd/>
        <w:snapToGrid/>
        <w:spacing w:line="600" w:lineRule="exact"/>
        <w:ind w:leftChars="0" w:right="759" w:rightChars="0"/>
        <w:jc w:val="center"/>
        <w:textAlignment w:val="auto"/>
        <w:rPr>
          <w:rFonts w:hint="eastAsia" w:ascii="黑体" w:hAnsi="黑体" w:eastAsia="黑体" w:cs="黑体"/>
          <w:spacing w:val="0"/>
          <w:sz w:val="36"/>
          <w:szCs w:val="36"/>
        </w:rPr>
      </w:pPr>
      <w:r>
        <w:rPr>
          <w:rFonts w:hint="eastAsia" w:ascii="黑体" w:hAnsi="黑体" w:eastAsia="黑体" w:cs="黑体"/>
          <w:spacing w:val="0"/>
          <w:sz w:val="36"/>
          <w:szCs w:val="36"/>
        </w:rPr>
        <w:t>七、授予合同</w:t>
      </w:r>
    </w:p>
    <w:p>
      <w:pPr>
        <w:pStyle w:val="3"/>
        <w:keepNext w:val="0"/>
        <w:keepLines w:val="0"/>
        <w:pageBreakBefore w:val="0"/>
        <w:widowControl w:val="0"/>
        <w:numPr>
          <w:ilvl w:val="0"/>
          <w:numId w:val="0"/>
        </w:numPr>
        <w:tabs>
          <w:tab w:val="left" w:pos="8599"/>
        </w:tabs>
        <w:kinsoku/>
        <w:wordWrap/>
        <w:overflowPunct/>
        <w:topLinePunct w:val="0"/>
        <w:autoSpaceDE w:val="0"/>
        <w:autoSpaceDN w:val="0"/>
        <w:bidi w:val="0"/>
        <w:adjustRightInd/>
        <w:snapToGrid/>
        <w:spacing w:before="0" w:line="600" w:lineRule="exact"/>
        <w:ind w:leftChars="0" w:right="0" w:rightChars="0"/>
        <w:textAlignment w:val="auto"/>
        <w:rPr>
          <w:rFonts w:hint="eastAsia" w:ascii="仿宋_GB2312" w:hAnsi="仿宋_GB2312" w:eastAsia="仿宋_GB2312" w:cs="仿宋_GB2312"/>
          <w:spacing w:val="0"/>
          <w:sz w:val="30"/>
          <w:szCs w:val="30"/>
        </w:rPr>
      </w:pPr>
      <w:r>
        <w:rPr>
          <w:rFonts w:hint="eastAsia" w:ascii="仿宋_GB2312" w:hAnsi="仿宋_GB2312" w:eastAsia="仿宋_GB2312" w:cs="仿宋_GB2312"/>
          <w:spacing w:val="0"/>
          <w:sz w:val="30"/>
          <w:szCs w:val="30"/>
        </w:rPr>
        <w:t>（二十六）招标人和中标人应当自中标通知书发出之日起</w:t>
      </w:r>
      <w:r>
        <w:rPr>
          <w:rFonts w:hint="eastAsia" w:ascii="仿宋_GB2312" w:hAnsi="仿宋_GB2312" w:eastAsia="仿宋_GB2312" w:cs="仿宋_GB2312"/>
          <w:spacing w:val="0"/>
          <w:sz w:val="30"/>
          <w:szCs w:val="30"/>
          <w:lang w:val="en-US" w:eastAsia="zh-CN"/>
        </w:rPr>
        <w:t>5</w:t>
      </w:r>
      <w:r>
        <w:rPr>
          <w:rFonts w:hint="eastAsia" w:ascii="仿宋_GB2312" w:hAnsi="仿宋_GB2312" w:eastAsia="仿宋_GB2312" w:cs="仿宋_GB2312"/>
          <w:spacing w:val="0"/>
          <w:sz w:val="30"/>
          <w:szCs w:val="30"/>
        </w:rPr>
        <w:t>日内，按照招标文件和中标人的投标文件订立书面合同，招标人和中标人不得再行订立背离合同实质性内容的其他协议。</w:t>
      </w:r>
    </w:p>
    <w:p/>
    <w:p>
      <w:pPr>
        <w:rPr>
          <w:rFonts w:hint="eastAsia"/>
        </w:rPr>
      </w:pPr>
    </w:p>
    <w:sectPr>
      <w:footerReference r:id="rId6" w:type="default"/>
      <w:pgSz w:w="11906" w:h="16838"/>
      <w:pgMar w:top="1440" w:right="1800" w:bottom="1440" w:left="1800" w:header="0" w:footer="163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14" w:lineRule="auto"/>
      <w:rPr>
        <w:sz w:val="20"/>
      </w:rPr>
    </w:pPr>
    <w:r>
      <mc:AlternateContent>
        <mc:Choice Requires="wps">
          <w:drawing>
            <wp:anchor distT="0" distB="0" distL="114300" distR="114300" simplePos="0" relativeHeight="251659264" behindDoc="1" locked="0" layoutInCell="1" allowOverlap="1">
              <wp:simplePos x="0" y="0"/>
              <wp:positionH relativeFrom="page">
                <wp:posOffset>5905500</wp:posOffset>
              </wp:positionH>
              <wp:positionV relativeFrom="page">
                <wp:posOffset>16004540</wp:posOffset>
              </wp:positionV>
              <wp:extent cx="319405" cy="210185"/>
              <wp:effectExtent l="0" t="0" r="0" b="0"/>
              <wp:wrapNone/>
              <wp:docPr id="1" name="文本框 1"/>
              <wp:cNvGraphicFramePr/>
              <a:graphic xmlns:a="http://schemas.openxmlformats.org/drawingml/2006/main">
                <a:graphicData uri="http://schemas.microsoft.com/office/word/2010/wordprocessingShape">
                  <wps:wsp>
                    <wps:cNvSpPr txBox="1"/>
                    <wps:spPr>
                      <a:xfrm>
                        <a:off x="0" y="0"/>
                        <a:ext cx="319405" cy="210185"/>
                      </a:xfrm>
                      <a:prstGeom prst="rect">
                        <a:avLst/>
                      </a:prstGeom>
                      <a:noFill/>
                      <a:ln>
                        <a:noFill/>
                      </a:ln>
                      <a:effectLst/>
                    </wps:spPr>
                    <wps:txbx>
                      <w:txbxContent>
                        <w:p>
                          <w:pPr>
                            <w:spacing w:before="11"/>
                            <w:ind w:left="20" w:right="0" w:firstLine="0"/>
                            <w:jc w:val="left"/>
                            <w:rPr>
                              <w:rFonts w:ascii="Arial"/>
                              <w:sz w:val="26"/>
                            </w:rPr>
                          </w:pPr>
                          <w:r>
                            <w:rPr>
                              <w:rFonts w:ascii="Arial"/>
                              <w:sz w:val="26"/>
                            </w:rPr>
                            <w:t>-</w:t>
                          </w:r>
                          <w:r>
                            <w:fldChar w:fldCharType="begin"/>
                          </w:r>
                          <w:r>
                            <w:rPr>
                              <w:rFonts w:ascii="Arial"/>
                              <w:sz w:val="26"/>
                            </w:rPr>
                            <w:instrText xml:space="preserve"> PAGE </w:instrText>
                          </w:r>
                          <w:r>
                            <w:fldChar w:fldCharType="separate"/>
                          </w:r>
                          <w:r>
                            <w:t>3</w:t>
                          </w:r>
                          <w:r>
                            <w:fldChar w:fldCharType="end"/>
                          </w:r>
                          <w:r>
                            <w:rPr>
                              <w:rFonts w:ascii="Arial"/>
                              <w:sz w:val="26"/>
                            </w:rPr>
                            <w:t>-</w:t>
                          </w:r>
                        </w:p>
                      </w:txbxContent>
                    </wps:txbx>
                    <wps:bodyPr lIns="0" tIns="0" rIns="0" bIns="0" upright="1"/>
                  </wps:wsp>
                </a:graphicData>
              </a:graphic>
            </wp:anchor>
          </w:drawing>
        </mc:Choice>
        <mc:Fallback>
          <w:pict>
            <v:shape id="_x0000_s1026" o:spid="_x0000_s1026" o:spt="202" type="#_x0000_t202" style="position:absolute;left:0pt;margin-left:465pt;margin-top:1260.2pt;height:16.55pt;width:25.15pt;mso-position-horizontal-relative:page;mso-position-vertical-relative:page;z-index:-251657216;mso-width-relative:page;mso-height-relative:page;" filled="f" stroked="f" coordsize="21600,21600" o:gfxdata="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jvuac2wAAAA0BAAAPAAAAAAAAAAEAIAAAACIAAABkcnMvZG93bnJldi54&#10;bWxQSwECFAAUAAAACACHTuJAxQ2y4r4BAAB/AwAADgAAAAAAAAABACAAAAAqAQAAZHJzL2Uyb0Rv&#10;Yy54bWxQSwUGAAAAAAYABgBZAQAAWgUAAAAA&#10;">
              <v:fill on="f" focussize="0,0"/>
              <v:stroke on="f"/>
              <v:imagedata o:title=""/>
              <o:lock v:ext="edit" aspectratio="f"/>
              <v:textbox inset="0mm,0mm,0mm,0mm">
                <w:txbxContent>
                  <w:p>
                    <w:pPr>
                      <w:spacing w:before="11"/>
                      <w:ind w:left="20" w:right="0" w:firstLine="0"/>
                      <w:jc w:val="left"/>
                      <w:rPr>
                        <w:rFonts w:ascii="Arial"/>
                        <w:sz w:val="26"/>
                      </w:rPr>
                    </w:pPr>
                    <w:r>
                      <w:rPr>
                        <w:rFonts w:ascii="Arial"/>
                        <w:sz w:val="26"/>
                      </w:rPr>
                      <w:t>-</w:t>
                    </w:r>
                    <w:r>
                      <w:fldChar w:fldCharType="begin"/>
                    </w:r>
                    <w:r>
                      <w:rPr>
                        <w:rFonts w:ascii="Arial"/>
                        <w:sz w:val="26"/>
                      </w:rPr>
                      <w:instrText xml:space="preserve"> PAGE </w:instrText>
                    </w:r>
                    <w:r>
                      <w:fldChar w:fldCharType="separate"/>
                    </w:r>
                    <w:r>
                      <w:t>3</w:t>
                    </w:r>
                    <w:r>
                      <w:fldChar w:fldCharType="end"/>
                    </w:r>
                    <w:r>
                      <w:rPr>
                        <w:rFonts w:ascii="Arial"/>
                        <w:sz w:val="26"/>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14" w:lineRule="auto"/>
      <w:rPr>
        <w:sz w:val="20"/>
      </w:rPr>
    </w:pPr>
    <w:r>
      <mc:AlternateContent>
        <mc:Choice Requires="wps">
          <w:drawing>
            <wp:anchor distT="0" distB="0" distL="114300" distR="114300" simplePos="0" relativeHeight="251659264" behindDoc="1" locked="0" layoutInCell="1" allowOverlap="1">
              <wp:simplePos x="0" y="0"/>
              <wp:positionH relativeFrom="page">
                <wp:posOffset>5905500</wp:posOffset>
              </wp:positionH>
              <wp:positionV relativeFrom="page">
                <wp:posOffset>16004540</wp:posOffset>
              </wp:positionV>
              <wp:extent cx="319405" cy="210185"/>
              <wp:effectExtent l="0" t="0" r="0" b="0"/>
              <wp:wrapNone/>
              <wp:docPr id="2" name="文本框 1026"/>
              <wp:cNvGraphicFramePr/>
              <a:graphic xmlns:a="http://schemas.openxmlformats.org/drawingml/2006/main">
                <a:graphicData uri="http://schemas.microsoft.com/office/word/2010/wordprocessingShape">
                  <wps:wsp>
                    <wps:cNvSpPr txBox="1"/>
                    <wps:spPr>
                      <a:xfrm>
                        <a:off x="0" y="0"/>
                        <a:ext cx="319405" cy="210185"/>
                      </a:xfrm>
                      <a:prstGeom prst="rect">
                        <a:avLst/>
                      </a:prstGeom>
                      <a:noFill/>
                      <a:ln>
                        <a:noFill/>
                      </a:ln>
                    </wps:spPr>
                    <wps:txbx>
                      <w:txbxContent>
                        <w:p>
                          <w:pPr>
                            <w:spacing w:before="11"/>
                            <w:ind w:left="20" w:right="0" w:firstLine="0"/>
                            <w:jc w:val="left"/>
                            <w:rPr>
                              <w:rFonts w:ascii="Arial"/>
                              <w:sz w:val="26"/>
                            </w:rPr>
                          </w:pPr>
                          <w:r>
                            <w:rPr>
                              <w:rFonts w:ascii="Arial"/>
                              <w:sz w:val="26"/>
                            </w:rPr>
                            <w:t>-</w:t>
                          </w:r>
                          <w:r>
                            <w:fldChar w:fldCharType="begin"/>
                          </w:r>
                          <w:r>
                            <w:rPr>
                              <w:rFonts w:ascii="Arial"/>
                              <w:sz w:val="26"/>
                            </w:rPr>
                            <w:instrText xml:space="preserve"> PAGE </w:instrText>
                          </w:r>
                          <w:r>
                            <w:fldChar w:fldCharType="separate"/>
                          </w:r>
                          <w:r>
                            <w:t>3</w:t>
                          </w:r>
                          <w:r>
                            <w:fldChar w:fldCharType="end"/>
                          </w:r>
                          <w:r>
                            <w:rPr>
                              <w:rFonts w:ascii="Arial"/>
                              <w:sz w:val="26"/>
                            </w:rPr>
                            <w:t>-</w:t>
                          </w:r>
                        </w:p>
                      </w:txbxContent>
                    </wps:txbx>
                    <wps:bodyPr lIns="0" tIns="0" rIns="0" bIns="0" upright="1"/>
                  </wps:wsp>
                </a:graphicData>
              </a:graphic>
            </wp:anchor>
          </w:drawing>
        </mc:Choice>
        <mc:Fallback>
          <w:pict>
            <v:shape id="文本框 1026" o:spid="_x0000_s1026" o:spt="202" type="#_x0000_t202" style="position:absolute;left:0pt;margin-left:465pt;margin-top:1260.2pt;height:16.55pt;width:25.15pt;mso-position-horizontal-relative:page;mso-position-vertical-relative:page;z-index:-251657216;mso-width-relative:page;mso-height-relative:page;" filled="f" stroked="f" coordsize="21600,21600" o:gfxdata="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KO+5pzbAAAADQEAAA8AAAAAAAAAAQAgAAAAIgAAAGRycy9kb3ducmV2Lnht&#10;bFBLAQIUABQAAAAIAIdO4kDdZWmuvQEAAHQDAAAOAAAAAAAAAAEAIAAAACoBAABkcnMvZTJvRG9j&#10;LnhtbFBLBQYAAAAABgAGAFkBAABZBQAAAAA=&#10;">
              <v:fill on="f" focussize="0,0"/>
              <v:stroke on="f"/>
              <v:imagedata o:title=""/>
              <o:lock v:ext="edit" aspectratio="f"/>
              <v:textbox inset="0mm,0mm,0mm,0mm">
                <w:txbxContent>
                  <w:p>
                    <w:pPr>
                      <w:spacing w:before="11"/>
                      <w:ind w:left="20" w:right="0" w:firstLine="0"/>
                      <w:jc w:val="left"/>
                      <w:rPr>
                        <w:rFonts w:ascii="Arial"/>
                        <w:sz w:val="26"/>
                      </w:rPr>
                    </w:pPr>
                    <w:r>
                      <w:rPr>
                        <w:rFonts w:ascii="Arial"/>
                        <w:sz w:val="26"/>
                      </w:rPr>
                      <w:t>-</w:t>
                    </w:r>
                    <w:r>
                      <w:fldChar w:fldCharType="begin"/>
                    </w:r>
                    <w:r>
                      <w:rPr>
                        <w:rFonts w:ascii="Arial"/>
                        <w:sz w:val="26"/>
                      </w:rPr>
                      <w:instrText xml:space="preserve"> PAGE </w:instrText>
                    </w:r>
                    <w:r>
                      <w:fldChar w:fldCharType="separate"/>
                    </w:r>
                    <w:r>
                      <w:t>3</w:t>
                    </w:r>
                    <w:r>
                      <w:fldChar w:fldCharType="end"/>
                    </w:r>
                    <w:r>
                      <w:rPr>
                        <w:rFonts w:ascii="Arial"/>
                        <w:sz w:val="26"/>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hdrShapeDefaults>
    <o:shapelayout v:ext="edit">
      <o:idmap v:ext="edit" data="3,4"/>
    </o:shapelayout>
  </w:hdrShapeDefaults>
  <w:footnotePr>
    <w:footnote w:id="0"/>
    <w:footnote w:id="1"/>
  </w:footnotePr>
  <w:endnotePr>
    <w:endnote w:id="0"/>
    <w:endnote w:id="1"/>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A729CE"/>
    <w:rsid w:val="0D5E11B2"/>
    <w:rsid w:val="12CF09AA"/>
    <w:rsid w:val="1B8715AD"/>
    <w:rsid w:val="20A06B01"/>
    <w:rsid w:val="333A4AE8"/>
    <w:rsid w:val="37000785"/>
    <w:rsid w:val="39D45327"/>
    <w:rsid w:val="48C61BA5"/>
    <w:rsid w:val="565F5CA1"/>
    <w:rsid w:val="59B653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zh-CN" w:eastAsia="zh-CN" w:bidi="zh-CN"/>
    </w:rPr>
  </w:style>
  <w:style w:type="paragraph" w:styleId="2">
    <w:name w:val="heading 1"/>
    <w:basedOn w:val="1"/>
    <w:next w:val="1"/>
    <w:qFormat/>
    <w:uiPriority w:val="1"/>
    <w:pPr>
      <w:spacing w:before="1"/>
      <w:ind w:left="880"/>
      <w:outlineLvl w:val="1"/>
    </w:pPr>
    <w:rPr>
      <w:rFonts w:ascii="宋体" w:hAnsi="宋体" w:eastAsia="宋体" w:cs="宋体"/>
      <w:sz w:val="64"/>
      <w:szCs w:val="64"/>
      <w:lang w:val="zh-CN" w:eastAsia="zh-CN" w:bidi="zh-CN"/>
    </w:rPr>
  </w:style>
  <w:style w:type="character" w:default="1" w:styleId="5">
    <w:name w:val="Default Paragraph Font"/>
    <w:semiHidden/>
    <w:unhideWhenUsed/>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1"/>
    <w:rPr>
      <w:rFonts w:ascii="宋体" w:hAnsi="宋体" w:eastAsia="宋体" w:cs="宋体"/>
      <w:sz w:val="30"/>
      <w:szCs w:val="30"/>
      <w:lang w:val="zh-CN" w:eastAsia="zh-CN" w:bidi="zh-CN"/>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820" w:hanging="700"/>
    </w:pPr>
    <w:rPr>
      <w:rFonts w:ascii="宋体" w:hAnsi="宋体" w:eastAsia="宋体" w:cs="宋体"/>
      <w:lang w:val="zh-CN" w:eastAsia="zh-CN" w:bidi="zh-CN"/>
    </w:rPr>
  </w:style>
  <w:style w:type="paragraph" w:customStyle="1" w:styleId="8">
    <w:name w:val="Table Paragraph"/>
    <w:basedOn w:val="1"/>
    <w:qFormat/>
    <w:uiPriority w:val="1"/>
    <w:rPr>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ScaleCrop>false</ScaleCrop>
  <LinksUpToDate>false</LinksUpToDate>
  <Application>WPS Office_11.1.0.10463_F1E327BC-269C-435d-A152-05C5408002CA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2021-04-30T07:18:00Z</dcterms:created>
  <dc:creator>bingdian001.com</dc:creator>
  <cp:keywords>bingdian001.com</cp:keywords>
  <cp:lastModifiedBy>云归风隐メ</cp:lastModifiedBy>
  <cp:lastPrinted>2021-05-06T01:51:00Z</cp:lastPrinted>
  <dcterms:modified xsi:type="dcterms:W3CDTF">2021-05-06T09:38:19Z</dcterms:modified>
  <dc:subject>bingdian001.com</dc:subject>
  <dc:title>bingdian001.com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2021-04-30T00:00:00Z</vt:filetime>
  </property>
  <property fmtid="{D5CDD505-2E9C-101B-9397-08002B2CF9AE}" pid="3" name="Creator">
    <vt:lpwstr>bingdian001.com</vt:lpwstr>
  </property>
  <property fmtid="{D5CDD505-2E9C-101B-9397-08002B2CF9AE}" pid="4" name="LastSaved">
    <vt:filetime>2021-04-30T00:00:00Z</vt:filetime>
  </property>
  <property fmtid="{D5CDD505-2E9C-101B-9397-08002B2CF9AE}" pid="5" name="KSOProductBuildVer">
    <vt:lpwstr>2052-11.1.0.10463</vt:lpwstr>
  </property>
  <property fmtid="{D5CDD505-2E9C-101B-9397-08002B2CF9AE}" pid="6" name="ICV">
    <vt:lpwstr>A958F6170CEF4C6DA95BEB5D99925B4E</vt:lpwstr>
  </property>
</Properties>
</file>