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360" w:lineRule="auto"/>
        <w:jc w:val="center"/>
        <w:rPr>
          <w:rFonts w:ascii="黑体" w:hAnsi="Calibri Light" w:eastAsia="黑体" w:cs="宋体"/>
          <w:b/>
          <w:bCs/>
          <w:kern w:val="0"/>
          <w:sz w:val="32"/>
          <w:szCs w:val="32"/>
        </w:rPr>
      </w:pPr>
      <w:r>
        <w:rPr>
          <w:rFonts w:hint="eastAsia" w:ascii="黑体" w:hAnsi="Calibri Light" w:eastAsia="黑体" w:cs="宋体"/>
          <w:b/>
          <w:bCs/>
          <w:kern w:val="0"/>
          <w:sz w:val="32"/>
          <w:szCs w:val="32"/>
        </w:rPr>
        <w:t>《平潭综合实验区35kV及以上电力设施</w:t>
      </w:r>
    </w:p>
    <w:p>
      <w:pPr>
        <w:widowControl/>
        <w:spacing w:line="360" w:lineRule="auto"/>
        <w:jc w:val="center"/>
        <w:rPr>
          <w:rFonts w:hint="eastAsia" w:ascii="黑体" w:hAnsi="Calibri Light" w:eastAsia="黑体" w:cs="宋体"/>
          <w:b/>
          <w:bCs/>
          <w:kern w:val="0"/>
          <w:sz w:val="32"/>
          <w:szCs w:val="32"/>
        </w:rPr>
      </w:pPr>
      <w:r>
        <w:rPr>
          <w:rFonts w:hint="eastAsia" w:ascii="黑体" w:hAnsi="Calibri Light" w:eastAsia="黑体" w:cs="宋体"/>
          <w:b/>
          <w:bCs/>
          <w:kern w:val="0"/>
          <w:sz w:val="32"/>
          <w:szCs w:val="32"/>
        </w:rPr>
        <w:t>布局专项规划（修编）》（2020～2035）公</w:t>
      </w:r>
      <w:r>
        <w:rPr>
          <w:rFonts w:hint="eastAsia" w:ascii="黑体" w:hAnsi="Calibri Light" w:eastAsia="黑体" w:cs="宋体"/>
          <w:b/>
          <w:bCs/>
          <w:kern w:val="0"/>
          <w:sz w:val="32"/>
          <w:szCs w:val="32"/>
          <w:lang w:eastAsia="zh-CN"/>
        </w:rPr>
        <w:t>布</w:t>
      </w:r>
      <w:r>
        <w:rPr>
          <w:rFonts w:hint="eastAsia" w:ascii="黑体" w:hAnsi="Calibri Light" w:eastAsia="黑体" w:cs="宋体"/>
          <w:b/>
          <w:bCs/>
          <w:kern w:val="0"/>
          <w:sz w:val="32"/>
          <w:szCs w:val="32"/>
        </w:rPr>
        <w:t>材料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90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b/>
          <w:bCs/>
          <w:kern w:val="0"/>
          <w:sz w:val="28"/>
          <w:szCs w:val="28"/>
        </w:rPr>
      </w:pPr>
      <w:bookmarkStart w:id="0" w:name="_Toc92879269"/>
      <w:bookmarkStart w:id="1" w:name="_Toc92710573"/>
      <w:bookmarkStart w:id="2" w:name="_Toc90096517"/>
      <w:bookmarkStart w:id="3" w:name="_Toc93292074"/>
      <w:bookmarkStart w:id="4" w:name="_Toc88379940"/>
      <w:bookmarkStart w:id="5" w:name="_Toc88555062"/>
      <w:bookmarkStart w:id="6" w:name="_Toc92878541"/>
      <w:bookmarkStart w:id="7" w:name="_Toc89787774"/>
      <w:bookmarkStart w:id="8" w:name="_Toc89857992"/>
      <w:bookmarkStart w:id="9" w:name="_Toc89780591"/>
      <w:bookmarkStart w:id="10" w:name="_Toc90096837"/>
      <w:bookmarkStart w:id="11" w:name="_Toc92703151"/>
      <w:bookmarkStart w:id="12" w:name="_Toc318206691"/>
      <w:bookmarkStart w:id="13" w:name="_Toc88296785"/>
      <w:bookmarkStart w:id="14" w:name="_Toc89789218"/>
      <w:bookmarkStart w:id="15" w:name="_Toc92703302"/>
      <w:bookmarkStart w:id="16" w:name="_Toc92879553"/>
      <w:bookmarkStart w:id="17" w:name="_Toc92119683"/>
      <w:bookmarkStart w:id="18" w:name="_Toc92702989"/>
      <w:bookmarkStart w:id="19" w:name="_Toc90354224"/>
      <w:bookmarkStart w:id="20" w:name="_Toc93292948"/>
      <w:bookmarkStart w:id="21" w:name="_Toc328475792"/>
      <w:bookmarkStart w:id="22" w:name="_Toc88554858"/>
      <w:bookmarkStart w:id="23" w:name="_Toc89782183"/>
      <w:bookmarkStart w:id="24" w:name="_Toc92879603"/>
      <w:bookmarkStart w:id="25" w:name="_Toc404018105"/>
      <w:bookmarkStart w:id="26" w:name="_Toc92119831"/>
      <w:bookmarkStart w:id="27" w:name="_Toc90096599"/>
      <w:bookmarkStart w:id="28" w:name="_Toc90096443"/>
      <w:bookmarkStart w:id="29" w:name="_Toc88297129"/>
      <w:bookmarkStart w:id="30" w:name="_Toc328466473"/>
      <w:bookmarkStart w:id="31" w:name="_Toc90096687"/>
      <w:bookmarkStart w:id="32" w:name="_Toc88554890"/>
      <w:bookmarkStart w:id="33" w:name="_Toc93291766"/>
      <w:r>
        <w:rPr>
          <w:rFonts w:hint="eastAsia" w:ascii="仿宋_GB2312" w:hAnsi="仿宋" w:eastAsia="仿宋_GB2312" w:cs="宋体"/>
          <w:b/>
          <w:bCs/>
          <w:kern w:val="0"/>
          <w:sz w:val="28"/>
          <w:szCs w:val="28"/>
        </w:rPr>
        <w:t>一、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r>
        <w:rPr>
          <w:rFonts w:hint="eastAsia" w:ascii="仿宋_GB2312" w:hAnsi="仿宋" w:eastAsia="仿宋_GB2312" w:cs="宋体"/>
          <w:b/>
          <w:bCs/>
          <w:kern w:val="0"/>
          <w:sz w:val="28"/>
          <w:szCs w:val="28"/>
        </w:rPr>
        <w:t>规划范围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平潭综合实验区行政辖区，包括陆域和管辖海域，总面积为3151平方公里，其中陆域面积为321平方公里（含离岛）。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90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b/>
          <w:bCs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b/>
          <w:bCs/>
          <w:kern w:val="0"/>
          <w:sz w:val="28"/>
          <w:szCs w:val="28"/>
        </w:rPr>
        <w:t>二、规划期限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bookmarkStart w:id="34" w:name="_Toc189672843"/>
      <w:bookmarkStart w:id="35" w:name="_Toc258337397"/>
      <w:r>
        <w:rPr>
          <w:rFonts w:hint="eastAsia" w:ascii="仿宋_GB2312" w:hAnsi="仿宋" w:eastAsia="仿宋_GB2312" w:cs="宋体"/>
          <w:kern w:val="0"/>
          <w:sz w:val="28"/>
          <w:szCs w:val="28"/>
        </w:rPr>
        <w:t>规划期限与平潭综合实验区国土空间规划的年限一致。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近期至2025年；远期至2035年；远景展望到2035年后。</w:t>
      </w:r>
    </w:p>
    <w:bookmarkEnd w:id="34"/>
    <w:bookmarkEnd w:id="35"/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90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b/>
          <w:bCs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b/>
          <w:bCs/>
          <w:kern w:val="0"/>
          <w:sz w:val="28"/>
          <w:szCs w:val="28"/>
          <w:lang w:eastAsia="zh-CN"/>
        </w:rPr>
        <w:t>三、</w:t>
      </w:r>
      <w:r>
        <w:rPr>
          <w:rFonts w:hint="eastAsia" w:ascii="仿宋_GB2312" w:hAnsi="仿宋" w:eastAsia="仿宋_GB2312" w:cs="宋体"/>
          <w:b/>
          <w:bCs/>
          <w:kern w:val="0"/>
          <w:sz w:val="28"/>
          <w:szCs w:val="28"/>
        </w:rPr>
        <w:t>规划依据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《中华人民共和国土地管理法》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 xml:space="preserve">《中华人民共和国城乡规划法》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《中国（福建）自由贸易试验区总体方案》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《平潭国际旅游岛建设方案》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《进一步深化中国（福建）自由贸易试验区改革开放方案》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《福建省人民政府关于贯彻落实平潭国际旅游岛建设方案的实施意见》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《平潭综合实验区国土空间规划（2018-2035年）》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《城市电力网规划设计导则》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《城市电力规划规范》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《配电网规划设计技术导则》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《平潭综合实验区35kV及以上电力设施</w:t>
      </w:r>
      <w:bookmarkStart w:id="36" w:name="_Toc305925049"/>
      <w:r>
        <w:rPr>
          <w:rFonts w:hint="eastAsia" w:ascii="仿宋_GB2312" w:hAnsi="仿宋" w:eastAsia="仿宋_GB2312" w:cs="宋体"/>
          <w:kern w:val="0"/>
          <w:sz w:val="28"/>
          <w:szCs w:val="28"/>
        </w:rPr>
        <w:t>布局专项规划</w:t>
      </w:r>
      <w:bookmarkEnd w:id="36"/>
      <w:r>
        <w:rPr>
          <w:rFonts w:hint="eastAsia" w:ascii="仿宋_GB2312" w:hAnsi="仿宋" w:eastAsia="仿宋_GB2312" w:cs="宋体"/>
          <w:kern w:val="0"/>
          <w:sz w:val="28"/>
          <w:szCs w:val="28"/>
        </w:rPr>
        <w:t>（2010-2030）》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《福州电网“十四五”主网架规划（220kV及以上部分）》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《平潭综合实验区“十四五”配电网发展规划报告</w:t>
      </w:r>
      <w:bookmarkStart w:id="37" w:name="_Toc381859363"/>
      <w:bookmarkStart w:id="38" w:name="_Toc468886510"/>
      <w:bookmarkStart w:id="39" w:name="_Toc471324723"/>
      <w:r>
        <w:rPr>
          <w:rFonts w:hint="eastAsia" w:ascii="仿宋_GB2312" w:hAnsi="仿宋" w:eastAsia="仿宋_GB2312" w:cs="宋体"/>
          <w:kern w:val="0"/>
          <w:sz w:val="28"/>
          <w:szCs w:val="28"/>
        </w:rPr>
        <w:t>（2020版）</w:t>
      </w:r>
      <w:bookmarkEnd w:id="37"/>
      <w:bookmarkEnd w:id="38"/>
      <w:bookmarkEnd w:id="39"/>
      <w:r>
        <w:rPr>
          <w:rFonts w:hint="eastAsia" w:ascii="仿宋_GB2312" w:hAnsi="仿宋" w:eastAsia="仿宋_GB2312" w:cs="宋体"/>
          <w:kern w:val="0"/>
          <w:sz w:val="28"/>
          <w:szCs w:val="28"/>
        </w:rPr>
        <w:t>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国家和省、市有关法规、规范、技术标准及其它相关规定。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90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b/>
          <w:bCs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b/>
          <w:bCs/>
          <w:kern w:val="0"/>
          <w:sz w:val="28"/>
          <w:szCs w:val="28"/>
        </w:rPr>
        <w:t>四、用电需求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用电目标负荷近期（2025年）达50万kW，远期（2035年）达180万kW，远景（2035年后）达250万kW(考虑高压网架须有足够的弹性以适应平潭综合实验区的发展)。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90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b/>
          <w:bCs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b/>
          <w:bCs/>
          <w:kern w:val="0"/>
          <w:sz w:val="28"/>
          <w:szCs w:val="28"/>
        </w:rPr>
        <w:t>五、电源规划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电源主要由岛外500kV变电站、城市220kV变电站及风电场组成。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90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b/>
          <w:bCs/>
          <w:kern w:val="0"/>
          <w:sz w:val="28"/>
          <w:szCs w:val="28"/>
        </w:rPr>
      </w:pPr>
      <w:bookmarkStart w:id="40" w:name="_GoBack"/>
      <w:r>
        <w:rPr>
          <w:rFonts w:hint="eastAsia" w:ascii="仿宋_GB2312" w:hAnsi="仿宋" w:eastAsia="仿宋_GB2312" w:cs="宋体"/>
          <w:b/>
          <w:bCs/>
          <w:kern w:val="0"/>
          <w:sz w:val="28"/>
          <w:szCs w:val="28"/>
        </w:rPr>
        <w:t>六、高压电网结构及变电站设置</w:t>
      </w:r>
    </w:p>
    <w:bookmarkEnd w:id="40"/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1、变电站结构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新建的变电站，220kV建议按半户外室或户内式选定，110kV变电站建议按户内式选定，35kV变电站建议按半户外室或户内式选定。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2、变电站设置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220kV变电站：规划期共设置220kV变电站8座，其中新建6座。分别处于平原组团（1座）、中楼组团（1座）、潭城组团（1座）、敖东（1座）、芦洋组团（1座）、流水组团（1座）。其中220kV韩厝变、敖东变作为多站融合试点；在220kV流水变边上选1座大型储能站站址，面积按90×150控制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110kV变电站：规划期共设置110kV变电站25座，其中新建19座。其中岚城组团、潭城组团、竹屿组团（5座），金井组团（3座），中楼组团、芦南组团（3座）；芦洋组团、平洋组团、平原组团、屿头、大练、小练、苏澳、白青（4座）；流水组团、东庠（2座）；澳前组团、北厝、敖东、南海（2座）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35kV变电站：规划期共设置35kV变电站3座，其中大练（1座），东庠（1座），南海（1座）。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3、进岛通道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现状220kV电源由海峡一通道引入，由福清华塘220kV变电站引2回至竹屿220kV变电站；近期北侧海峡二通道由长乐井门变引两回至平原（大中）变；远期海峡一通道复桥预留2回至敖东变，海峡二通道预留2回至平原变，海峡三通道、海峡四通道预留220kV进线通道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4、网络结构规划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目标网架将逐步形成以500kV超高压送电网为核心（岛外），220kV高压送电网和110kV高压配电网为骨架的城市供电体系。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规划220kV网架与福清市、长乐市形成多个双环网网架。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110kV高压配电系统采用分区供电；110kV变电站电源来自不同的220kV变电站。近期适当采用辐射接线、双链T接线，远期、远景接线模式逐步过渡为T链混合接线。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5、电力线路规划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实验区建设的220kV线路除外围空旷地带采用架空敷设外，建成区范围均采用电缆敷设；建成区范围内110kV及以下线路在规划区均过渡到全缆化；35kV线路采用海缆接至离岛，上岛后主要采用架空敷设。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588" w:firstLineChars="210"/>
        <w:jc w:val="both"/>
        <w:textAlignment w:val="auto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电力线路沿电力隧道或综合管廊敷设，消防、通风、监控、报警、排水等应符合国家相关规范、标准的要求。其余市政道路上均需敷设市政电缆通道，沿道路东侧或南侧人行道或绿化带下敷设，40m计以上道路采用双侧敷设。</w:t>
      </w:r>
    </w:p>
    <w:p>
      <w:pPr>
        <w:keepNext/>
        <w:adjustRightInd w:val="0"/>
        <w:snapToGrid w:val="0"/>
        <w:spacing w:line="360" w:lineRule="auto"/>
        <w:ind w:firstLine="590" w:firstLineChars="210"/>
        <w:outlineLvl w:val="0"/>
        <w:rPr>
          <w:rFonts w:ascii="仿宋_GB2312" w:eastAsia="仿宋_GB2312"/>
          <w:b/>
          <w:sz w:val="28"/>
          <w:szCs w:val="28"/>
        </w:rPr>
      </w:pPr>
      <w:r>
        <w:rPr>
          <w:rFonts w:hint="eastAsia" w:ascii="仿宋_GB2312" w:eastAsia="仿宋_GB2312"/>
          <w:b/>
          <w:sz w:val="28"/>
          <w:szCs w:val="28"/>
        </w:rPr>
        <w:t>七、主要图纸</w:t>
      </w:r>
    </w:p>
    <w:p>
      <w:pPr>
        <w:pStyle w:val="13"/>
        <w:keepNext/>
        <w:numPr>
          <w:ilvl w:val="0"/>
          <w:numId w:val="1"/>
        </w:numPr>
        <w:adjustRightInd w:val="0"/>
        <w:snapToGrid w:val="0"/>
        <w:spacing w:line="360" w:lineRule="auto"/>
        <w:ind w:left="1010" w:firstLineChars="0"/>
        <w:outlineLvl w:val="0"/>
        <w:rPr>
          <w:rFonts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平潭综合实验区用电负荷分布图</w:t>
      </w:r>
    </w:p>
    <w:p>
      <w:pPr>
        <w:pStyle w:val="13"/>
        <w:adjustRightInd w:val="0"/>
        <w:snapToGrid w:val="0"/>
        <w:spacing w:line="360" w:lineRule="auto"/>
        <w:ind w:firstLine="0" w:firstLineChars="0"/>
        <w:jc w:val="center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ascii="仿宋_GB2312" w:hAnsi="仿宋" w:eastAsia="仿宋_GB2312" w:cs="宋体"/>
          <w:kern w:val="0"/>
          <w:sz w:val="28"/>
          <w:szCs w:val="28"/>
        </w:rPr>
        <w:pict>
          <v:shape id="_x0000_i1025" o:spt="75" type="#_x0000_t75" style="height:585.95pt;width:414.6pt;" filled="f" o:preferrelative="t" stroked="f" coordsize="21600,21600">
            <v:path/>
            <v:fill on="f" focussize="0,0"/>
            <v:stroke on="f" joinstyle="miter"/>
            <v:imagedata r:id="rId4" o:title="04 平潭综合实验区用电负荷分布图0000"/>
            <o:lock v:ext="edit" aspectratio="t"/>
            <w10:wrap type="none"/>
            <w10:anchorlock/>
          </v:shape>
        </w:pict>
      </w:r>
    </w:p>
    <w:p>
      <w:pPr>
        <w:pStyle w:val="13"/>
        <w:keepNext/>
        <w:numPr>
          <w:ilvl w:val="0"/>
          <w:numId w:val="1"/>
        </w:numPr>
        <w:adjustRightInd w:val="0"/>
        <w:snapToGrid w:val="0"/>
        <w:spacing w:line="360" w:lineRule="auto"/>
        <w:ind w:left="1010" w:firstLineChars="0"/>
        <w:outlineLvl w:val="0"/>
        <w:rPr>
          <w:rFonts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平潭综合实验区变电站定位图</w:t>
      </w:r>
    </w:p>
    <w:p>
      <w:pPr>
        <w:pStyle w:val="13"/>
        <w:adjustRightInd w:val="0"/>
        <w:snapToGrid w:val="0"/>
        <w:spacing w:line="360" w:lineRule="auto"/>
        <w:ind w:firstLine="0" w:firstLineChars="0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ascii="仿宋_GB2312" w:hAnsi="仿宋" w:eastAsia="仿宋_GB2312" w:cs="宋体"/>
          <w:kern w:val="0"/>
          <w:sz w:val="28"/>
          <w:szCs w:val="28"/>
        </w:rPr>
        <w:pict>
          <v:shape id="_x0000_i1026" o:spt="75" type="#_x0000_t75" style="height:585.95pt;width:414.6pt;" filled="f" o:preferrelative="t" stroked="f" coordsize="21600,21600">
            <v:path/>
            <v:fill on="f" focussize="0,0"/>
            <v:stroke on="f" joinstyle="miter"/>
            <v:imagedata r:id="rId5" o:title="05 平潭综合实验区变电站定位图0000"/>
            <o:lock v:ext="edit" aspectratio="t"/>
            <w10:wrap type="none"/>
            <w10:anchorlock/>
          </v:shape>
        </w:pict>
      </w:r>
    </w:p>
    <w:p>
      <w:pPr>
        <w:pStyle w:val="13"/>
        <w:keepNext/>
        <w:numPr>
          <w:ilvl w:val="0"/>
          <w:numId w:val="1"/>
        </w:numPr>
        <w:adjustRightInd w:val="0"/>
        <w:snapToGrid w:val="0"/>
        <w:spacing w:line="360" w:lineRule="auto"/>
        <w:ind w:left="1010" w:firstLineChars="0"/>
        <w:outlineLvl w:val="0"/>
        <w:rPr>
          <w:rFonts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远景220kV变电站布置及网架图</w:t>
      </w:r>
    </w:p>
    <w:p>
      <w:pPr>
        <w:pStyle w:val="13"/>
        <w:adjustRightInd w:val="0"/>
        <w:snapToGrid w:val="0"/>
        <w:spacing w:line="360" w:lineRule="auto"/>
        <w:ind w:firstLine="0" w:firstLineChars="0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ascii="仿宋_GB2312" w:hAnsi="仿宋" w:eastAsia="仿宋_GB2312" w:cs="宋体"/>
          <w:kern w:val="0"/>
          <w:sz w:val="28"/>
          <w:szCs w:val="28"/>
        </w:rPr>
        <w:pict>
          <v:shape id="_x0000_i1027" o:spt="75" type="#_x0000_t75" style="height:585.95pt;width:414.6pt;" filled="f" o:preferrelative="t" stroked="f" coordsize="21600,21600">
            <v:path/>
            <v:fill on="f" focussize="0,0"/>
            <v:stroke on="f" joinstyle="miter"/>
            <v:imagedata r:id="rId6" o:title="10 远景220kV变电站布置及网架图0000"/>
            <o:lock v:ext="edit" aspectratio="t"/>
            <w10:wrap type="none"/>
            <w10:anchorlock/>
          </v:shape>
        </w:pict>
      </w:r>
    </w:p>
    <w:p>
      <w:pPr>
        <w:pStyle w:val="13"/>
        <w:keepNext/>
        <w:numPr>
          <w:ilvl w:val="0"/>
          <w:numId w:val="1"/>
        </w:numPr>
        <w:adjustRightInd w:val="0"/>
        <w:snapToGrid w:val="0"/>
        <w:spacing w:line="360" w:lineRule="auto"/>
        <w:ind w:left="1010" w:firstLineChars="0"/>
        <w:outlineLvl w:val="0"/>
        <w:rPr>
          <w:rFonts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远景3</w:t>
      </w:r>
      <w:r>
        <w:rPr>
          <w:rFonts w:ascii="仿宋_GB2312" w:hAnsi="仿宋" w:eastAsia="仿宋_GB2312" w:cs="宋体"/>
          <w:kern w:val="0"/>
          <w:sz w:val="28"/>
          <w:szCs w:val="28"/>
        </w:rPr>
        <w:t>5</w:t>
      </w:r>
      <w:r>
        <w:rPr>
          <w:rFonts w:hint="eastAsia" w:ascii="仿宋_GB2312" w:hAnsi="仿宋" w:eastAsia="仿宋_GB2312" w:cs="宋体"/>
          <w:kern w:val="0"/>
          <w:sz w:val="28"/>
          <w:szCs w:val="28"/>
        </w:rPr>
        <w:t>kV及110kV变电站布置及网架图</w:t>
      </w:r>
    </w:p>
    <w:p>
      <w:pPr>
        <w:pStyle w:val="13"/>
        <w:adjustRightInd w:val="0"/>
        <w:snapToGrid w:val="0"/>
        <w:spacing w:line="360" w:lineRule="auto"/>
        <w:ind w:firstLine="0" w:firstLineChars="0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ascii="仿宋_GB2312" w:hAnsi="仿宋" w:eastAsia="仿宋_GB2312" w:cs="宋体"/>
          <w:kern w:val="0"/>
          <w:sz w:val="28"/>
          <w:szCs w:val="28"/>
        </w:rPr>
        <w:pict>
          <v:shape id="_x0000_i1028" o:spt="75" type="#_x0000_t75" style="height:585.95pt;width:414.6pt;" filled="f" o:preferrelative="t" stroked="f" coordsize="21600,21600">
            <v:path/>
            <v:fill on="f" focussize="0,0"/>
            <v:stroke on="f" joinstyle="miter"/>
            <v:imagedata r:id="rId7" o:title="14 远景35kV及110kV变电站布置及网架图0000"/>
            <o:lock v:ext="edit" aspectratio="t"/>
            <w10:wrap type="none"/>
            <w10:anchorlock/>
          </v:shape>
        </w:pict>
      </w:r>
    </w:p>
    <w:p>
      <w:pPr>
        <w:pStyle w:val="13"/>
        <w:keepNext/>
        <w:numPr>
          <w:ilvl w:val="0"/>
          <w:numId w:val="1"/>
        </w:numPr>
        <w:adjustRightInd w:val="0"/>
        <w:snapToGrid w:val="0"/>
        <w:spacing w:line="360" w:lineRule="auto"/>
        <w:ind w:left="1010" w:firstLineChars="0"/>
        <w:outlineLvl w:val="0"/>
        <w:rPr>
          <w:rFonts w:ascii="仿宋_GB2312" w:hAnsi="仿宋" w:eastAsia="仿宋_GB2312" w:cs="宋体"/>
          <w:kern w:val="0"/>
          <w:sz w:val="28"/>
          <w:szCs w:val="28"/>
        </w:rPr>
      </w:pPr>
      <w:r>
        <w:rPr>
          <w:rFonts w:hint="eastAsia" w:ascii="仿宋_GB2312" w:hAnsi="仿宋" w:eastAsia="仿宋_GB2312" w:cs="宋体"/>
          <w:kern w:val="0"/>
          <w:sz w:val="28"/>
          <w:szCs w:val="28"/>
        </w:rPr>
        <w:t>主干电力通道图</w:t>
      </w:r>
    </w:p>
    <w:p>
      <w:pPr>
        <w:pStyle w:val="13"/>
        <w:adjustRightInd w:val="0"/>
        <w:snapToGrid w:val="0"/>
        <w:spacing w:line="360" w:lineRule="auto"/>
        <w:ind w:firstLine="0" w:firstLineChars="0"/>
        <w:outlineLvl w:val="0"/>
        <w:rPr>
          <w:rFonts w:hint="eastAsia" w:ascii="仿宋_GB2312" w:hAnsi="仿宋" w:eastAsia="仿宋_GB2312" w:cs="宋体"/>
          <w:kern w:val="0"/>
          <w:sz w:val="28"/>
          <w:szCs w:val="28"/>
        </w:rPr>
      </w:pPr>
      <w:r>
        <w:rPr>
          <w:rFonts w:ascii="仿宋_GB2312" w:hAnsi="仿宋" w:eastAsia="仿宋_GB2312" w:cs="宋体"/>
          <w:kern w:val="0"/>
          <w:sz w:val="28"/>
          <w:szCs w:val="28"/>
        </w:rPr>
        <w:pict>
          <v:shape id="_x0000_i1029" o:spt="75" type="#_x0000_t75" style="height:585.95pt;width:414.6pt;" filled="f" o:preferrelative="t" stroked="f" coordsize="21600,21600">
            <v:path/>
            <v:fill on="f" focussize="0,0"/>
            <v:stroke on="f" joinstyle="miter"/>
            <v:imagedata r:id="rId8" o:title="15 主干电力通道图0000"/>
            <o:lock v:ext="edit" aspectratio="t"/>
            <w10:wrap type="none"/>
            <w10:anchorlock/>
          </v:shape>
        </w:pi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altName w:val="Nimbus Roman No9 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Calibri Light">
    <w:altName w:val="DejaVu Sans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B83099"/>
    <w:multiLevelType w:val="multilevel"/>
    <w:tmpl w:val="25B83099"/>
    <w:lvl w:ilvl="0" w:tentative="0">
      <w:start w:val="1"/>
      <w:numFmt w:val="decimal"/>
      <w:lvlText w:val="%1."/>
      <w:lvlJc w:val="left"/>
      <w:pPr>
        <w:ind w:left="1008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FB3"/>
    <w:rsid w:val="00076806"/>
    <w:rsid w:val="002C4FC0"/>
    <w:rsid w:val="00485E5A"/>
    <w:rsid w:val="00505826"/>
    <w:rsid w:val="00A11A74"/>
    <w:rsid w:val="00AE10B3"/>
    <w:rsid w:val="00AF259B"/>
    <w:rsid w:val="00BE2661"/>
    <w:rsid w:val="00BF19FA"/>
    <w:rsid w:val="00BF1B55"/>
    <w:rsid w:val="00CA6F7B"/>
    <w:rsid w:val="00D1108C"/>
    <w:rsid w:val="00DA37B8"/>
    <w:rsid w:val="00E14F00"/>
    <w:rsid w:val="00F2113C"/>
    <w:rsid w:val="00F409BD"/>
    <w:rsid w:val="00F87FB3"/>
    <w:rsid w:val="15574B19"/>
    <w:rsid w:val="181B0B97"/>
    <w:rsid w:val="1D8333D4"/>
    <w:rsid w:val="258919B7"/>
    <w:rsid w:val="28E0619B"/>
    <w:rsid w:val="2CF939A1"/>
    <w:rsid w:val="2E4D1DDA"/>
    <w:rsid w:val="30D463C4"/>
    <w:rsid w:val="35E8612B"/>
    <w:rsid w:val="366A1D2F"/>
    <w:rsid w:val="3CB1758D"/>
    <w:rsid w:val="40DA38DD"/>
    <w:rsid w:val="46DD30E3"/>
    <w:rsid w:val="47F632B4"/>
    <w:rsid w:val="499D31D8"/>
    <w:rsid w:val="4B7B0414"/>
    <w:rsid w:val="51D51CF5"/>
    <w:rsid w:val="52442CA3"/>
    <w:rsid w:val="56FE1460"/>
    <w:rsid w:val="5780225F"/>
    <w:rsid w:val="698F6943"/>
    <w:rsid w:val="6C2E2FA2"/>
    <w:rsid w:val="760324F6"/>
    <w:rsid w:val="763B1B62"/>
    <w:rsid w:val="763E390E"/>
    <w:rsid w:val="76EC2FB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2"/>
    <w:unhideWhenUsed/>
    <w:qFormat/>
    <w:uiPriority w:val="99"/>
    <w:rPr>
      <w:rFonts w:ascii="宋体" w:eastAsia="宋体"/>
      <w:sz w:val="18"/>
      <w:szCs w:val="18"/>
    </w:rPr>
  </w:style>
  <w:style w:type="paragraph" w:styleId="4">
    <w:name w:val="Plain Text"/>
    <w:basedOn w:val="1"/>
    <w:link w:val="14"/>
    <w:qFormat/>
    <w:uiPriority w:val="0"/>
    <w:pPr>
      <w:spacing w:line="360" w:lineRule="auto"/>
      <w:ind w:left="-106" w:right="-59" w:hanging="1"/>
    </w:pPr>
    <w:rPr>
      <w:rFonts w:ascii="宋体" w:hAnsi="宋体" w:eastAsia="宋体" w:cs="Times New Roman"/>
      <w:sz w:val="24"/>
      <w:szCs w:val="24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0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文档结构图 字符"/>
    <w:basedOn w:val="9"/>
    <w:link w:val="3"/>
    <w:semiHidden/>
    <w:qFormat/>
    <w:uiPriority w:val="99"/>
    <w:rPr>
      <w:rFonts w:ascii="宋体" w:eastAsia="宋体"/>
      <w:sz w:val="18"/>
      <w:szCs w:val="18"/>
    </w:rPr>
  </w:style>
  <w:style w:type="paragraph" w:styleId="13">
    <w:name w:val="List Paragraph"/>
    <w:basedOn w:val="1"/>
    <w:qFormat/>
    <w:uiPriority w:val="99"/>
    <w:pPr>
      <w:ind w:firstLine="420" w:firstLineChars="200"/>
    </w:pPr>
  </w:style>
  <w:style w:type="character" w:customStyle="1" w:styleId="14">
    <w:name w:val="纯文本 字符"/>
    <w:basedOn w:val="9"/>
    <w:link w:val="4"/>
    <w:qFormat/>
    <w:uiPriority w:val="0"/>
    <w:rPr>
      <w:rFonts w:ascii="宋体" w:hAnsi="宋体" w:eastAsia="宋体" w:cs="Times New Roman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250</Words>
  <Characters>1431</Characters>
  <Lines>11</Lines>
  <Paragraphs>3</Paragraphs>
  <TotalTime>12</TotalTime>
  <ScaleCrop>false</ScaleCrop>
  <LinksUpToDate>false</LinksUpToDate>
  <CharactersWithSpaces>1678</CharactersWithSpaces>
  <Application>WPS Office_11.8.2.9793_F1E327BC-269C-435d-A152-05C5408002CA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2021-10-12T09:43:00Z</dcterms:created>
  <dc:creator>lzf</dc:creator>
  <cp:lastModifiedBy>pingtan</cp:lastModifiedBy>
  <dcterms:modified xsi:type="dcterms:W3CDTF">2021-10-12T10:37:14Z</dcterms:modified>
  <dc:title>平潭电力专项规划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2052-11.8.2.9793</vt:lpwstr>
  </property>
</Properties>
</file>