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afterLines="50" w:line="600" w:lineRule="exact"/>
        <w:rPr>
          <w:rFonts w:ascii="黑体" w:hAnsi="黑体" w:eastAsia="黑体" w:cs="宋体"/>
          <w:sz w:val="32"/>
          <w:szCs w:val="32"/>
        </w:rPr>
      </w:pPr>
      <w:r>
        <w:rPr>
          <w:rFonts w:hint="eastAsia" w:ascii="黑体" w:hAnsi="黑体" w:eastAsia="黑体" w:cs="宋体"/>
          <w:sz w:val="32"/>
          <w:szCs w:val="32"/>
        </w:rPr>
        <w:t>附件1</w:t>
      </w:r>
    </w:p>
    <w:p>
      <w:pPr>
        <w:pStyle w:val="2"/>
      </w:pPr>
    </w:p>
    <w:p>
      <w:pPr>
        <w:spacing w:line="580" w:lineRule="exact"/>
        <w:jc w:val="center"/>
        <w:rPr>
          <w:rFonts w:ascii="方正小标宋简体" w:hAnsi="方正小标宋简体" w:eastAsia="方正小标宋简体" w:cs="方正小标宋简体"/>
          <w:sz w:val="44"/>
          <w:szCs w:val="52"/>
        </w:rPr>
      </w:pPr>
      <w:r>
        <w:rPr>
          <w:rFonts w:hint="eastAsia" w:ascii="方正小标宋简体" w:hAnsi="方正小标宋简体" w:eastAsia="方正小标宋简体" w:cs="方正小标宋简体"/>
          <w:sz w:val="44"/>
          <w:szCs w:val="52"/>
        </w:rPr>
        <w:t>平潭东溪、西溪内源生态修复项目</w:t>
      </w:r>
    </w:p>
    <w:p>
      <w:pPr>
        <w:spacing w:line="580" w:lineRule="exact"/>
        <w:jc w:val="center"/>
        <w:rPr>
          <w:rFonts w:ascii="方正小标宋简体" w:hAnsi="方正小标宋简体" w:eastAsia="方正小标宋简体" w:cs="方正小标宋简体"/>
          <w:sz w:val="20"/>
          <w:szCs w:val="22"/>
        </w:rPr>
      </w:pPr>
      <w:r>
        <w:rPr>
          <w:rFonts w:hint="eastAsia" w:ascii="方正小标宋简体" w:hAnsi="方正小标宋简体" w:eastAsia="方正小标宋简体" w:cs="方正小标宋简体"/>
          <w:sz w:val="44"/>
          <w:szCs w:val="52"/>
        </w:rPr>
        <w:t>设备处置方案</w:t>
      </w:r>
    </w:p>
    <w:p>
      <w:pPr>
        <w:pStyle w:val="3"/>
        <w:spacing w:before="156" w:beforeLines="50" w:beforeAutospacing="0" w:after="156" w:afterLines="50" w:afterAutospacing="0"/>
        <w:ind w:firstLine="640" w:firstLineChars="200"/>
        <w:rPr>
          <w:rFonts w:ascii="黑体" w:hAnsi="黑体" w:eastAsia="黑体" w:cs="黑体"/>
          <w:b w:val="0"/>
          <w:szCs w:val="32"/>
        </w:rPr>
      </w:pPr>
    </w:p>
    <w:p>
      <w:pPr>
        <w:pStyle w:val="3"/>
        <w:spacing w:before="156" w:beforeLines="50" w:beforeAutospacing="0" w:after="156" w:afterLines="50" w:afterAutospacing="0"/>
        <w:ind w:firstLine="640" w:firstLineChars="200"/>
        <w:rPr>
          <w:rFonts w:ascii="黑体" w:hAnsi="黑体" w:eastAsia="黑体" w:cs="黑体"/>
          <w:b w:val="0"/>
          <w:szCs w:val="32"/>
        </w:rPr>
      </w:pPr>
      <w:r>
        <w:rPr>
          <w:rFonts w:hint="eastAsia" w:ascii="黑体" w:hAnsi="黑体" w:eastAsia="黑体" w:cs="黑体"/>
          <w:b w:val="0"/>
          <w:szCs w:val="32"/>
        </w:rPr>
        <w:t>一、项目概况</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平潭西溪内源生态修复项目、平潭东溪内源生态修复项目分别于2018年8月、2018年9月建设，现因工作需要，拟对两套设备分别做如下处置：</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1.将原布设于西溪河道内的内源生态修复设施（主要是水下设备）回收、维修维护（必要时返厂）并日常保养（西溪内源生态修复项目），待防洪防潮工程完成后进行重新安装于西溪。</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将原布设于东溪河道内的内源生态修复设施（含水下设备、设备间、设备间内设备）需整体迁移，迁移地点为芦北湖蓄水池（距离东溪约12公里），原水下设备安装于芦北湖蓄水池内，原岸上移动设备间及设备间内设备安装于芦北湖蓄水池岸边，并做好周边排水，设备房接电确保设备正常运行，运营期1年。</w:t>
      </w:r>
    </w:p>
    <w:p>
      <w:pPr>
        <w:pStyle w:val="2"/>
      </w:pPr>
    </w:p>
    <w:p>
      <w:pPr>
        <w:pStyle w:val="2"/>
      </w:pPr>
    </w:p>
    <w:p>
      <w:pPr>
        <w:pStyle w:val="2"/>
      </w:pPr>
    </w:p>
    <w:p>
      <w:pPr>
        <w:pStyle w:val="2"/>
        <w:rPr>
          <w:rFonts w:hint="eastAsia"/>
        </w:rPr>
      </w:pPr>
    </w:p>
    <w:p>
      <w:pPr>
        <w:pStyle w:val="3"/>
        <w:spacing w:before="156" w:beforeLines="50" w:beforeAutospacing="0" w:after="156" w:afterLines="50" w:afterAutospacing="0"/>
        <w:ind w:firstLine="640" w:firstLineChars="200"/>
        <w:rPr>
          <w:rFonts w:ascii="黑体" w:hAnsi="黑体" w:eastAsia="黑体" w:cs="黑体"/>
          <w:b w:val="0"/>
          <w:szCs w:val="32"/>
        </w:rPr>
      </w:pPr>
      <w:r>
        <w:rPr>
          <w:rFonts w:hint="eastAsia" w:ascii="黑体" w:hAnsi="黑体" w:eastAsia="黑体" w:cs="黑体"/>
          <w:b w:val="0"/>
          <w:szCs w:val="32"/>
        </w:rPr>
        <w:t>二、项目处置量清单</w:t>
      </w:r>
    </w:p>
    <w:p>
      <w:pPr>
        <w:spacing w:line="600" w:lineRule="exact"/>
        <w:jc w:val="center"/>
        <w:rPr>
          <w:rFonts w:ascii="楷体_GB2312" w:hAnsi="楷体_GB2312" w:eastAsia="楷体_GB2312" w:cs="楷体_GB2312"/>
          <w:b/>
          <w:bCs/>
          <w:kern w:val="28"/>
          <w:sz w:val="28"/>
          <w:szCs w:val="28"/>
        </w:rPr>
      </w:pPr>
      <w:r>
        <w:rPr>
          <w:rFonts w:hint="eastAsia" w:ascii="楷体_GB2312" w:hAnsi="楷体_GB2312" w:eastAsia="楷体_GB2312" w:cs="楷体_GB2312"/>
          <w:b/>
          <w:bCs/>
          <w:kern w:val="28"/>
          <w:sz w:val="28"/>
          <w:szCs w:val="28"/>
        </w:rPr>
        <w:t>表1 拆卸、运输、安装工程量清单</w:t>
      </w:r>
    </w:p>
    <w:tbl>
      <w:tblPr>
        <w:tblStyle w:val="4"/>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751"/>
        <w:gridCol w:w="1632"/>
        <w:gridCol w:w="1092"/>
        <w:gridCol w:w="696"/>
        <w:gridCol w:w="768"/>
        <w:gridCol w:w="984"/>
        <w:gridCol w:w="960"/>
        <w:gridCol w:w="11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72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bidi="ar"/>
              </w:rPr>
              <w:t>项目</w:t>
            </w:r>
          </w:p>
        </w:tc>
        <w:tc>
          <w:tcPr>
            <w:tcW w:w="751" w:type="dxa"/>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序号</w:t>
            </w:r>
          </w:p>
        </w:tc>
        <w:tc>
          <w:tcPr>
            <w:tcW w:w="1632" w:type="dxa"/>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工程量</w:t>
            </w:r>
          </w:p>
        </w:tc>
        <w:tc>
          <w:tcPr>
            <w:tcW w:w="1092" w:type="dxa"/>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型号</w:t>
            </w:r>
          </w:p>
        </w:tc>
        <w:tc>
          <w:tcPr>
            <w:tcW w:w="696" w:type="dxa"/>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数量</w:t>
            </w:r>
          </w:p>
        </w:tc>
        <w:tc>
          <w:tcPr>
            <w:tcW w:w="768" w:type="dxa"/>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单位</w:t>
            </w:r>
          </w:p>
        </w:tc>
        <w:tc>
          <w:tcPr>
            <w:tcW w:w="984" w:type="dxa"/>
            <w:shd w:val="clear" w:color="auto" w:fill="auto"/>
            <w:vAlign w:val="center"/>
          </w:tcPr>
          <w:p>
            <w:pPr>
              <w:widowControl/>
              <w:jc w:val="center"/>
              <w:textAlignment w:val="center"/>
              <w:rPr>
                <w:rFonts w:ascii="仿宋_GB2312" w:hAnsi="仿宋_GB2312" w:eastAsia="仿宋_GB2312" w:cs="仿宋_GB2312"/>
                <w:b/>
                <w:bCs/>
                <w:color w:val="000000"/>
                <w:kern w:val="0"/>
                <w:sz w:val="18"/>
                <w:szCs w:val="18"/>
                <w:lang w:bidi="ar"/>
              </w:rPr>
            </w:pPr>
            <w:r>
              <w:rPr>
                <w:rFonts w:hint="eastAsia" w:ascii="仿宋_GB2312" w:hAnsi="仿宋_GB2312" w:eastAsia="仿宋_GB2312" w:cs="仿宋_GB2312"/>
                <w:b/>
                <w:bCs/>
                <w:color w:val="000000"/>
                <w:kern w:val="0"/>
                <w:sz w:val="18"/>
                <w:szCs w:val="18"/>
                <w:lang w:bidi="ar"/>
              </w:rPr>
              <w:t>涉及重量</w:t>
            </w:r>
          </w:p>
        </w:tc>
        <w:tc>
          <w:tcPr>
            <w:tcW w:w="2148" w:type="dxa"/>
            <w:gridSpan w:val="2"/>
            <w:shd w:val="clear" w:color="auto" w:fill="auto"/>
            <w:vAlign w:val="center"/>
          </w:tcPr>
          <w:p>
            <w:pPr>
              <w:widowControl/>
              <w:jc w:val="center"/>
              <w:textAlignment w:val="center"/>
              <w:rPr>
                <w:rFonts w:ascii="仿宋_GB2312" w:hAnsi="仿宋_GB2312" w:eastAsia="仿宋_GB2312" w:cs="仿宋_GB2312"/>
                <w:b/>
                <w:bCs/>
                <w:color w:val="000000"/>
                <w:kern w:val="0"/>
                <w:sz w:val="18"/>
                <w:szCs w:val="18"/>
                <w:lang w:bidi="ar"/>
              </w:rPr>
            </w:pPr>
            <w:r>
              <w:rPr>
                <w:rFonts w:hint="eastAsia" w:ascii="仿宋_GB2312" w:hAnsi="仿宋_GB2312" w:eastAsia="仿宋_GB2312" w:cs="仿宋_GB2312"/>
                <w:b/>
                <w:bCs/>
                <w:color w:val="000000"/>
                <w:kern w:val="0"/>
                <w:sz w:val="18"/>
                <w:szCs w:val="18"/>
                <w:lang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720" w:type="dxa"/>
            <w:vMerge w:val="restart"/>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拆卸、运输、安装</w:t>
            </w:r>
          </w:p>
        </w:tc>
        <w:tc>
          <w:tcPr>
            <w:tcW w:w="8071" w:type="dxa"/>
            <w:gridSpan w:val="8"/>
            <w:shd w:val="clear" w:color="auto" w:fill="auto"/>
            <w:vAlign w:val="center"/>
          </w:tcPr>
          <w:p>
            <w:pPr>
              <w:widowControl/>
              <w:jc w:val="center"/>
              <w:textAlignment w:val="center"/>
              <w:rPr>
                <w:rFonts w:ascii="仿宋_GB2312" w:hAnsi="仿宋_GB2312" w:eastAsia="仿宋_GB2312" w:cs="仿宋_GB2312"/>
                <w:b/>
                <w:bCs/>
                <w:color w:val="000000"/>
                <w:kern w:val="0"/>
                <w:szCs w:val="21"/>
                <w:lang w:bidi="ar"/>
              </w:rPr>
            </w:pPr>
            <w:r>
              <w:rPr>
                <w:rFonts w:hint="eastAsia" w:ascii="仿宋_GB2312" w:hAnsi="仿宋_GB2312" w:eastAsia="仿宋_GB2312" w:cs="仿宋_GB2312"/>
                <w:b/>
                <w:bCs/>
                <w:color w:val="000000"/>
                <w:kern w:val="0"/>
                <w:szCs w:val="21"/>
                <w:lang w:bidi="ar"/>
              </w:rPr>
              <w:t>（一）西溪内源生态修复项目设备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1.1</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一种具有调节生态因子功能的生态礁</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HVP-5</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15</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984" w:type="dxa"/>
            <w:vMerge w:val="restart"/>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约1吨</w:t>
            </w: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水下</w:t>
            </w:r>
          </w:p>
        </w:tc>
        <w:tc>
          <w:tcPr>
            <w:tcW w:w="1188" w:type="dxa"/>
            <w:vMerge w:val="restart"/>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本套设备 （水下设备）从溪中回收进行维修维护、保养。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1.2</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微气泡及微纳米气泡扩散装置</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HCKS</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设备间</w:t>
            </w:r>
          </w:p>
        </w:tc>
        <w:tc>
          <w:tcPr>
            <w:tcW w:w="1188"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1.3</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配套管道（含耐压阀门井）</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岸边管沟内</w:t>
            </w:r>
          </w:p>
        </w:tc>
        <w:tc>
          <w:tcPr>
            <w:tcW w:w="1188"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8071" w:type="dxa"/>
            <w:gridSpan w:val="8"/>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b/>
                <w:bCs/>
                <w:color w:val="000000"/>
                <w:kern w:val="0"/>
                <w:sz w:val="18"/>
                <w:szCs w:val="18"/>
                <w:lang w:bidi="ar"/>
              </w:rPr>
              <w:t>（二）</w:t>
            </w:r>
            <w:r>
              <w:rPr>
                <w:rFonts w:hint="eastAsia" w:ascii="仿宋_GB2312" w:hAnsi="仿宋_GB2312" w:eastAsia="仿宋_GB2312" w:cs="仿宋_GB2312"/>
                <w:b/>
                <w:bCs/>
                <w:color w:val="000000"/>
                <w:kern w:val="0"/>
                <w:szCs w:val="21"/>
                <w:lang w:bidi="ar"/>
              </w:rPr>
              <w:t>东溪内源生态修复项目设备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2.1</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阵列可控纳米溶氧盘</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HCP-1</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30</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984" w:type="dxa"/>
            <w:vMerge w:val="restart"/>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约3吨</w:t>
            </w: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水下</w:t>
            </w:r>
          </w:p>
        </w:tc>
        <w:tc>
          <w:tcPr>
            <w:tcW w:w="1188" w:type="dxa"/>
            <w:vMerge w:val="restart"/>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本套设备从平潭东溪整体搬运至平潭芦北湖，相距约12km。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2.2</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湖库流域的生态因子及基因表达纳米调控设备</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HC-JY-2</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5</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移动设备间</w:t>
            </w:r>
          </w:p>
        </w:tc>
        <w:tc>
          <w:tcPr>
            <w:tcW w:w="1188"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2.3</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微纳米发生装置</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HC-WNM1</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台</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移动设备间</w:t>
            </w:r>
          </w:p>
        </w:tc>
        <w:tc>
          <w:tcPr>
            <w:tcW w:w="1188"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2.4</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微气泡及微纳米气泡扩散装置</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HCKS</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水下</w:t>
            </w:r>
          </w:p>
        </w:tc>
        <w:tc>
          <w:tcPr>
            <w:tcW w:w="1188"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2.5</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中央控制系统</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移动设备</w:t>
            </w:r>
          </w:p>
        </w:tc>
        <w:tc>
          <w:tcPr>
            <w:tcW w:w="1188"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2.6</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配电工程</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1188" w:type="dxa"/>
            <w:vMerge w:val="continue"/>
            <w:shd w:val="clear" w:color="auto" w:fill="auto"/>
            <w:vAlign w:val="center"/>
          </w:tcPr>
          <w:p>
            <w:pPr>
              <w:jc w:val="center"/>
              <w:rPr>
                <w:rFonts w:ascii="仿宋_GB2312" w:hAnsi="仿宋_GB2312" w:eastAsia="仿宋_GB2312" w:cs="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2.7</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配套管道</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1188" w:type="dxa"/>
            <w:vMerge w:val="continue"/>
            <w:shd w:val="clear" w:color="auto" w:fill="auto"/>
            <w:vAlign w:val="center"/>
          </w:tcPr>
          <w:p>
            <w:pPr>
              <w:jc w:val="center"/>
              <w:rPr>
                <w:rFonts w:ascii="仿宋_GB2312" w:hAnsi="仿宋_GB2312" w:eastAsia="仿宋_GB2312" w:cs="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720" w:type="dxa"/>
            <w:vMerge w:val="continue"/>
            <w:shd w:val="clear" w:color="auto" w:fill="auto"/>
            <w:vAlign w:val="center"/>
          </w:tcPr>
          <w:p>
            <w:pPr>
              <w:jc w:val="center"/>
              <w:rPr>
                <w:rFonts w:ascii="仿宋_GB2312" w:hAnsi="仿宋_GB2312" w:eastAsia="仿宋_GB2312" w:cs="仿宋_GB2312"/>
                <w:color w:val="000000"/>
                <w:sz w:val="18"/>
                <w:szCs w:val="18"/>
              </w:rPr>
            </w:pPr>
          </w:p>
        </w:tc>
        <w:tc>
          <w:tcPr>
            <w:tcW w:w="751"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2.8</w:t>
            </w:r>
          </w:p>
        </w:tc>
        <w:tc>
          <w:tcPr>
            <w:tcW w:w="163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不锈钢水箱</w:t>
            </w:r>
          </w:p>
        </w:tc>
        <w:tc>
          <w:tcPr>
            <w:tcW w:w="1092"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696"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68"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984" w:type="dxa"/>
            <w:vMerge w:val="continue"/>
            <w:shd w:val="clear" w:color="auto" w:fill="auto"/>
            <w:vAlign w:val="center"/>
          </w:tcPr>
          <w:p>
            <w:pPr>
              <w:widowControl/>
              <w:jc w:val="center"/>
              <w:textAlignment w:val="center"/>
              <w:rPr>
                <w:rFonts w:ascii="仿宋_GB2312" w:hAnsi="仿宋_GB2312" w:eastAsia="仿宋_GB2312" w:cs="仿宋_GB2312"/>
                <w:color w:val="000000"/>
                <w:kern w:val="0"/>
                <w:sz w:val="18"/>
                <w:szCs w:val="18"/>
                <w:lang w:bidi="ar"/>
              </w:rPr>
            </w:pPr>
          </w:p>
        </w:tc>
        <w:tc>
          <w:tcPr>
            <w:tcW w:w="960" w:type="dxa"/>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1188" w:type="dxa"/>
            <w:vMerge w:val="continue"/>
            <w:shd w:val="clear" w:color="auto" w:fill="auto"/>
            <w:vAlign w:val="center"/>
          </w:tcPr>
          <w:p>
            <w:pPr>
              <w:jc w:val="center"/>
              <w:rPr>
                <w:rFonts w:ascii="仿宋_GB2312" w:hAnsi="仿宋_GB2312" w:eastAsia="仿宋_GB2312" w:cs="仿宋_GB2312"/>
                <w:color w:val="000000"/>
                <w:sz w:val="18"/>
                <w:szCs w:val="18"/>
              </w:rPr>
            </w:pPr>
          </w:p>
        </w:tc>
      </w:tr>
    </w:tbl>
    <w:p>
      <w:pPr>
        <w:pStyle w:val="2"/>
        <w:jc w:val="center"/>
        <w:rPr>
          <w:rFonts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pPr>
      <w:r>
        <w:rPr>
          <w:rFonts w:hint="eastAsia" w:ascii="楷体_GB2312" w:hAnsi="楷体_GB2312" w:eastAsia="楷体_GB2312" w:cs="楷体_GB2312"/>
          <w:b/>
          <w:bCs/>
          <w:sz w:val="28"/>
          <w:szCs w:val="28"/>
        </w:rPr>
        <w:t>表2 维护工程量清单</w:t>
      </w:r>
    </w:p>
    <w:tbl>
      <w:tblPr>
        <w:tblStyle w:val="4"/>
        <w:tblW w:w="8737" w:type="dxa"/>
        <w:tblInd w:w="-125" w:type="dxa"/>
        <w:tblLayout w:type="fixed"/>
        <w:tblCellMar>
          <w:top w:w="0" w:type="dxa"/>
          <w:left w:w="108" w:type="dxa"/>
          <w:bottom w:w="0" w:type="dxa"/>
          <w:right w:w="108" w:type="dxa"/>
        </w:tblCellMar>
      </w:tblPr>
      <w:tblGrid>
        <w:gridCol w:w="912"/>
        <w:gridCol w:w="804"/>
        <w:gridCol w:w="2544"/>
        <w:gridCol w:w="972"/>
        <w:gridCol w:w="876"/>
        <w:gridCol w:w="787"/>
        <w:gridCol w:w="1842"/>
      </w:tblGrid>
      <w:tr>
        <w:tblPrEx>
          <w:tblCellMar>
            <w:top w:w="0" w:type="dxa"/>
            <w:left w:w="108" w:type="dxa"/>
            <w:bottom w:w="0" w:type="dxa"/>
            <w:right w:w="108" w:type="dxa"/>
          </w:tblCellMar>
        </w:tblPrEx>
        <w:trPr>
          <w:trHeight w:val="439" w:hRule="atLeast"/>
        </w:trPr>
        <w:tc>
          <w:tcPr>
            <w:tcW w:w="91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项目</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序号</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工程量</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型号</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数量</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单位</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Cs w:val="21"/>
              </w:rPr>
            </w:pPr>
            <w:r>
              <w:rPr>
                <w:rFonts w:hint="eastAsia" w:ascii="仿宋_GB2312" w:hAnsi="仿宋_GB2312" w:eastAsia="仿宋_GB2312" w:cs="仿宋_GB2312"/>
                <w:b/>
                <w:bCs/>
                <w:color w:val="000000"/>
                <w:kern w:val="0"/>
                <w:szCs w:val="21"/>
                <w:lang w:bidi="ar"/>
              </w:rPr>
              <w:t>备注</w:t>
            </w:r>
          </w:p>
        </w:tc>
      </w:tr>
      <w:tr>
        <w:tblPrEx>
          <w:tblCellMar>
            <w:top w:w="0" w:type="dxa"/>
            <w:left w:w="108" w:type="dxa"/>
            <w:bottom w:w="0" w:type="dxa"/>
            <w:right w:w="108" w:type="dxa"/>
          </w:tblCellMar>
        </w:tblPrEx>
        <w:trPr>
          <w:trHeight w:val="289" w:hRule="atLeast"/>
        </w:trPr>
        <w:tc>
          <w:tcPr>
            <w:tcW w:w="91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bidi="ar"/>
              </w:rPr>
              <w:t>维护</w:t>
            </w:r>
          </w:p>
        </w:tc>
        <w:tc>
          <w:tcPr>
            <w:tcW w:w="782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（一）</w:t>
            </w:r>
            <w:r>
              <w:rPr>
                <w:rFonts w:hint="eastAsia" w:ascii="仿宋_GB2312" w:hAnsi="仿宋_GB2312" w:eastAsia="仿宋_GB2312" w:cs="仿宋_GB2312"/>
                <w:b/>
                <w:bCs/>
                <w:color w:val="000000"/>
                <w:kern w:val="0"/>
                <w:szCs w:val="21"/>
                <w:lang w:bidi="ar"/>
              </w:rPr>
              <w:t>西溪内源生态修复项目设备</w:t>
            </w:r>
          </w:p>
        </w:tc>
      </w:tr>
      <w:tr>
        <w:tblPrEx>
          <w:tblCellMar>
            <w:top w:w="0" w:type="dxa"/>
            <w:left w:w="108" w:type="dxa"/>
            <w:bottom w:w="0" w:type="dxa"/>
            <w:right w:w="108" w:type="dxa"/>
          </w:tblCellMar>
        </w:tblPrEx>
        <w:trPr>
          <w:trHeight w:val="56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1.1</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一种具有调节生态因子功能的生态礁</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HcP-5</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15</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56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1.2</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生态因子及基因表达纳米调控设备</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HC-JY-2</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3</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63"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1.3</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微纳米发生装置</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HC-WNM1</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台</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56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1.4</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微气泡及微纳米气泡扩散装置</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HCKS</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63"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1.5</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中央控制系统</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56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1.6</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配套管道（含耐压阀门井）</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耐压PE管</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28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782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kern w:val="0"/>
                <w:sz w:val="18"/>
                <w:szCs w:val="18"/>
                <w:lang w:bidi="ar"/>
              </w:rPr>
              <w:t>（二）</w:t>
            </w:r>
            <w:r>
              <w:rPr>
                <w:rFonts w:hint="eastAsia" w:ascii="仿宋_GB2312" w:hAnsi="仿宋_GB2312" w:eastAsia="仿宋_GB2312" w:cs="仿宋_GB2312"/>
                <w:b/>
                <w:bCs/>
                <w:color w:val="000000"/>
                <w:kern w:val="0"/>
                <w:sz w:val="22"/>
                <w:szCs w:val="22"/>
                <w:lang w:bidi="ar"/>
              </w:rPr>
              <w:t>东溪内源生态修复项目设备</w:t>
            </w:r>
          </w:p>
        </w:tc>
      </w:tr>
      <w:tr>
        <w:tblPrEx>
          <w:tblCellMar>
            <w:top w:w="0" w:type="dxa"/>
            <w:left w:w="108" w:type="dxa"/>
            <w:bottom w:w="0" w:type="dxa"/>
            <w:right w:w="108" w:type="dxa"/>
          </w:tblCellMar>
        </w:tblPrEx>
        <w:trPr>
          <w:trHeight w:val="56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2.1</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阵列可控纳米溶氧盘</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HCP-1</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30</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848"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2.2</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湖库流域的生态因子及基因表达纳米调控设备</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HC-JY-2</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5</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63"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2.3</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微纳米发生装置</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HC-WNM1</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台</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569"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2.4</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微气泡及微纳米气泡扩散装置</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HCKS</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63"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2.5</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中央控制系统</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HC-K</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套</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63"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2.6</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配电工程</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63"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2.7</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配套管道</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r>
        <w:tblPrEx>
          <w:tblCellMar>
            <w:top w:w="0" w:type="dxa"/>
            <w:left w:w="108" w:type="dxa"/>
            <w:bottom w:w="0" w:type="dxa"/>
            <w:right w:w="108" w:type="dxa"/>
          </w:tblCellMar>
        </w:tblPrEx>
        <w:trPr>
          <w:trHeight w:val="476" w:hRule="atLeast"/>
        </w:trPr>
        <w:tc>
          <w:tcPr>
            <w:tcW w:w="9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_GB2312" w:hAnsi="仿宋_GB2312" w:eastAsia="仿宋_GB2312" w:cs="仿宋_GB2312"/>
                <w:color w:val="000000"/>
                <w:sz w:val="18"/>
                <w:szCs w:val="18"/>
              </w:rPr>
            </w:pP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2.8</w:t>
            </w:r>
          </w:p>
        </w:tc>
        <w:tc>
          <w:tcPr>
            <w:tcW w:w="2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不锈钢水箱</w:t>
            </w:r>
          </w:p>
        </w:tc>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项</w:t>
            </w:r>
          </w:p>
        </w:tc>
        <w:tc>
          <w:tcPr>
            <w:tcW w:w="184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_GB2312" w:hAnsi="仿宋_GB2312" w:eastAsia="仿宋_GB2312" w:cs="仿宋_GB2312"/>
                <w:color w:val="000000"/>
                <w:sz w:val="18"/>
                <w:szCs w:val="18"/>
              </w:rPr>
            </w:pPr>
            <w:r>
              <w:rPr>
                <w:rFonts w:hint="eastAsia" w:ascii="仿宋_GB2312" w:hAnsi="仿宋_GB2312" w:eastAsia="仿宋_GB2312" w:cs="仿宋_GB2312"/>
                <w:color w:val="000000"/>
                <w:kern w:val="0"/>
                <w:sz w:val="18"/>
                <w:szCs w:val="18"/>
                <w:lang w:bidi="ar"/>
              </w:rPr>
              <w:t>保障正常运行功能</w:t>
            </w:r>
          </w:p>
        </w:tc>
      </w:tr>
    </w:tbl>
    <w:p>
      <w:pPr>
        <w:pStyle w:val="2"/>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hint="eastAsia" w:ascii="楷体_GB2312" w:hAnsi="楷体_GB2312" w:eastAsia="楷体_GB2312" w:cs="楷体_GB2312"/>
          <w:b/>
          <w:bCs/>
          <w:sz w:val="28"/>
          <w:szCs w:val="28"/>
        </w:rPr>
      </w:pPr>
    </w:p>
    <w:p>
      <w:pPr>
        <w:pStyle w:val="2"/>
        <w:jc w:val="center"/>
        <w:rPr>
          <w:rFonts w:ascii="楷体_GB2312" w:hAnsi="楷体_GB2312" w:eastAsia="楷体_GB2312" w:cs="楷体_GB2312"/>
          <w:b/>
          <w:bCs/>
          <w:sz w:val="28"/>
          <w:szCs w:val="28"/>
        </w:rPr>
      </w:pPr>
      <w:bookmarkStart w:id="0" w:name="_GoBack"/>
      <w:bookmarkEnd w:id="0"/>
      <w:r>
        <w:rPr>
          <w:rFonts w:hint="eastAsia" w:ascii="楷体_GB2312" w:hAnsi="楷体_GB2312" w:eastAsia="楷体_GB2312" w:cs="楷体_GB2312"/>
          <w:b/>
          <w:bCs/>
          <w:sz w:val="28"/>
          <w:szCs w:val="28"/>
        </w:rPr>
        <w:t>表3 设备运维</w:t>
      </w:r>
    </w:p>
    <w:tbl>
      <w:tblPr>
        <w:tblStyle w:val="6"/>
        <w:tblW w:w="8752"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28"/>
        <w:gridCol w:w="1966"/>
        <w:gridCol w:w="4654"/>
        <w:gridCol w:w="140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28" w:type="dxa"/>
            <w:vAlign w:val="center"/>
          </w:tcPr>
          <w:p>
            <w:pPr>
              <w:adjustRightInd w:val="0"/>
              <w:snapToGrid w:val="0"/>
              <w:spacing w:before="100" w:after="100"/>
              <w:jc w:val="center"/>
              <w:rPr>
                <w:rFonts w:ascii="仿宋_GB2312" w:hAnsi="仿宋_GB2312" w:eastAsia="仿宋_GB2312" w:cs="仿宋_GB2312"/>
                <w:b/>
                <w:bCs/>
                <w:szCs w:val="21"/>
              </w:rPr>
            </w:pPr>
            <w:r>
              <w:rPr>
                <w:rFonts w:hint="eastAsia" w:ascii="仿宋_GB2312" w:hAnsi="仿宋_GB2312" w:eastAsia="仿宋_GB2312" w:cs="仿宋_GB2312"/>
                <w:b/>
                <w:bCs/>
                <w:szCs w:val="21"/>
              </w:rPr>
              <w:t>序号</w:t>
            </w:r>
          </w:p>
        </w:tc>
        <w:tc>
          <w:tcPr>
            <w:tcW w:w="1966" w:type="dxa"/>
            <w:vAlign w:val="center"/>
          </w:tcPr>
          <w:p>
            <w:pPr>
              <w:adjustRightInd w:val="0"/>
              <w:snapToGrid w:val="0"/>
              <w:spacing w:before="100" w:after="100"/>
              <w:jc w:val="center"/>
              <w:rPr>
                <w:rFonts w:ascii="仿宋_GB2312" w:hAnsi="仿宋_GB2312" w:eastAsia="仿宋_GB2312" w:cs="仿宋_GB2312"/>
                <w:b/>
                <w:bCs/>
                <w:szCs w:val="21"/>
              </w:rPr>
            </w:pPr>
            <w:r>
              <w:rPr>
                <w:rFonts w:hint="eastAsia" w:ascii="仿宋_GB2312" w:hAnsi="仿宋_GB2312" w:eastAsia="仿宋_GB2312" w:cs="仿宋_GB2312"/>
                <w:b/>
                <w:bCs/>
                <w:szCs w:val="21"/>
              </w:rPr>
              <w:t>维护项目</w:t>
            </w:r>
          </w:p>
        </w:tc>
        <w:tc>
          <w:tcPr>
            <w:tcW w:w="4654" w:type="dxa"/>
            <w:vAlign w:val="center"/>
          </w:tcPr>
          <w:p>
            <w:pPr>
              <w:adjustRightInd w:val="0"/>
              <w:snapToGrid w:val="0"/>
              <w:spacing w:before="100" w:after="100"/>
              <w:jc w:val="center"/>
              <w:rPr>
                <w:rFonts w:ascii="仿宋_GB2312" w:hAnsi="仿宋_GB2312" w:eastAsia="仿宋_GB2312" w:cs="仿宋_GB2312"/>
                <w:b/>
                <w:bCs/>
                <w:szCs w:val="21"/>
              </w:rPr>
            </w:pPr>
            <w:r>
              <w:rPr>
                <w:rFonts w:hint="eastAsia" w:ascii="仿宋_GB2312" w:hAnsi="仿宋_GB2312" w:eastAsia="仿宋_GB2312" w:cs="仿宋_GB2312"/>
                <w:b/>
                <w:bCs/>
                <w:szCs w:val="21"/>
              </w:rPr>
              <w:t>维护内容</w:t>
            </w:r>
          </w:p>
        </w:tc>
        <w:tc>
          <w:tcPr>
            <w:tcW w:w="1404" w:type="dxa"/>
            <w:vAlign w:val="center"/>
          </w:tcPr>
          <w:p>
            <w:pPr>
              <w:adjustRightInd w:val="0"/>
              <w:snapToGrid w:val="0"/>
              <w:spacing w:before="100" w:after="100"/>
              <w:jc w:val="center"/>
              <w:rPr>
                <w:rFonts w:ascii="仿宋_GB2312" w:hAnsi="仿宋_GB2312" w:eastAsia="仿宋_GB2312" w:cs="仿宋_GB2312"/>
                <w:b/>
                <w:bCs/>
                <w:szCs w:val="21"/>
              </w:rPr>
            </w:pPr>
            <w:r>
              <w:rPr>
                <w:rFonts w:hint="eastAsia" w:ascii="仿宋_GB2312" w:hAnsi="仿宋_GB2312" w:eastAsia="仿宋_GB2312" w:cs="仿宋_GB2312"/>
                <w:b/>
                <w:bCs/>
                <w:szCs w:val="21"/>
              </w:rPr>
              <w:t>周期</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8752" w:type="dxa"/>
            <w:gridSpan w:val="4"/>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r>
              <w:rPr>
                <w:rFonts w:hint="eastAsia" w:ascii="仿宋_GB2312" w:hAnsi="仿宋_GB2312" w:eastAsia="仿宋_GB2312" w:cs="仿宋_GB2312"/>
                <w:b/>
                <w:bCs/>
                <w:color w:val="000000"/>
                <w:kern w:val="0"/>
                <w:szCs w:val="21"/>
                <w:lang w:bidi="ar"/>
              </w:rPr>
              <w:t>（一）西溪内源生态修复项目</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728" w:type="dxa"/>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1</w:t>
            </w:r>
          </w:p>
        </w:tc>
        <w:tc>
          <w:tcPr>
            <w:tcW w:w="1966" w:type="dxa"/>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一种具有调节生态因子功能的生态礁</w:t>
            </w:r>
          </w:p>
        </w:tc>
        <w:tc>
          <w:tcPr>
            <w:tcW w:w="4654" w:type="dxa"/>
            <w:vAlign w:val="center"/>
          </w:tcPr>
          <w:p>
            <w:pPr>
              <w:adjustRightInd w:val="0"/>
              <w:snapToGrid w:val="0"/>
              <w:spacing w:before="100" w:after="100"/>
              <w:jc w:val="left"/>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定期检查各取样、微生物投加单元是否正常</w:t>
            </w:r>
          </w:p>
        </w:tc>
        <w:tc>
          <w:tcPr>
            <w:tcW w:w="1404" w:type="dxa"/>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半年一次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728" w:type="dxa"/>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2</w:t>
            </w:r>
          </w:p>
        </w:tc>
        <w:tc>
          <w:tcPr>
            <w:tcW w:w="1966" w:type="dxa"/>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生态因子及基因表达纳米调控设备</w:t>
            </w:r>
          </w:p>
        </w:tc>
        <w:tc>
          <w:tcPr>
            <w:tcW w:w="4654" w:type="dxa"/>
            <w:vAlign w:val="center"/>
          </w:tcPr>
          <w:p>
            <w:pPr>
              <w:adjustRightInd w:val="0"/>
              <w:snapToGrid w:val="0"/>
              <w:spacing w:before="100" w:after="100"/>
              <w:jc w:val="left"/>
              <w:rPr>
                <w:rFonts w:ascii="仿宋_GB2312" w:hAnsi="仿宋_GB2312" w:eastAsia="仿宋_GB2312" w:cs="仿宋_GB2312"/>
                <w:szCs w:val="21"/>
              </w:rPr>
            </w:pPr>
            <w:r>
              <w:rPr>
                <w:rFonts w:hint="eastAsia" w:ascii="仿宋_GB2312" w:hAnsi="仿宋_GB2312" w:eastAsia="仿宋_GB2312" w:cs="仿宋_GB2312"/>
                <w:szCs w:val="21"/>
              </w:rPr>
              <w:t>定期对于设备各元器件进行测试，调控单元、自动化单元等保证检测和动作的精确、进行手动操作，检查应急控制系统的可靠性。</w:t>
            </w:r>
          </w:p>
        </w:tc>
        <w:tc>
          <w:tcPr>
            <w:tcW w:w="1404" w:type="dxa"/>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三个月一次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restart"/>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3</w:t>
            </w:r>
          </w:p>
        </w:tc>
        <w:tc>
          <w:tcPr>
            <w:tcW w:w="1966" w:type="dxa"/>
            <w:vMerge w:val="restart"/>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微纳米发生装置、微气泡及微纳米气泡扩散装置</w:t>
            </w:r>
          </w:p>
        </w:tc>
        <w:tc>
          <w:tcPr>
            <w:tcW w:w="4654" w:type="dxa"/>
            <w:vAlign w:val="center"/>
          </w:tcPr>
          <w:p>
            <w:pPr>
              <w:adjustRightInd w:val="0"/>
              <w:snapToGrid w:val="0"/>
              <w:spacing w:before="100" w:after="100"/>
              <w:jc w:val="left"/>
              <w:rPr>
                <w:rFonts w:ascii="仿宋_GB2312" w:hAnsi="仿宋_GB2312" w:eastAsia="仿宋_GB2312" w:cs="仿宋_GB2312"/>
                <w:szCs w:val="21"/>
              </w:rPr>
            </w:pPr>
            <w:r>
              <w:rPr>
                <w:rFonts w:hint="eastAsia" w:ascii="仿宋_GB2312" w:hAnsi="仿宋_GB2312" w:eastAsia="仿宋_GB2312" w:cs="仿宋_GB2312"/>
                <w:szCs w:val="21"/>
              </w:rPr>
              <w:t>定期检查各传感器运行情况。</w:t>
            </w:r>
          </w:p>
        </w:tc>
        <w:tc>
          <w:tcPr>
            <w:tcW w:w="1404" w:type="dxa"/>
            <w:vMerge w:val="restart"/>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szCs w:val="21"/>
              </w:rPr>
              <w:t>三个月一次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定期按要求对于水泵进行维护。</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定期对于气源处理单元进行定期更换损耗品。</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微纳米发生装置需定期停机检查电气部分是否受潮，绝缘是否良好，接地是否良好。</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设备间需要保证干燥、通风良好、空气洁净。</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restart"/>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r>
              <w:rPr>
                <w:rFonts w:hint="eastAsia" w:ascii="仿宋_GB2312" w:hAnsi="仿宋_GB2312" w:eastAsia="仿宋_GB2312" w:cs="仿宋_GB2312"/>
                <w:b/>
                <w:bCs/>
                <w:color w:val="000000"/>
                <w:kern w:val="0"/>
                <w:szCs w:val="21"/>
                <w:lang w:bidi="ar"/>
              </w:rPr>
              <w:t>4</w:t>
            </w:r>
          </w:p>
        </w:tc>
        <w:tc>
          <w:tcPr>
            <w:tcW w:w="1966" w:type="dxa"/>
            <w:vMerge w:val="restart"/>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中央控制系统</w:t>
            </w: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定期对于设备各元器件进行测试，保证检测和动作的精确。</w:t>
            </w:r>
          </w:p>
        </w:tc>
        <w:tc>
          <w:tcPr>
            <w:tcW w:w="1404" w:type="dxa"/>
            <w:vMerge w:val="restart"/>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r>
              <w:rPr>
                <w:rFonts w:hint="eastAsia" w:ascii="仿宋_GB2312" w:hAnsi="仿宋_GB2312" w:eastAsia="仿宋_GB2312" w:cs="仿宋_GB2312"/>
                <w:szCs w:val="21"/>
              </w:rPr>
              <w:t>三个月一次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定期对于多参数水环境监测单元的各个探头或测定装置进行定期校准，并按要求进行保养。</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定期需要定期对于物化环境因子驱动单元内部消耗品进行更换，需清洗的部件应定期检查清理。</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定期对于微生物培养和驯化系统进行整机清洗，保证系统培养的特定菌群的优势。</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定期进行手动操作，检查应急控制系统的可靠性。</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定期对于生化环境因子驱动单元进行整机清洗。</w:t>
            </w:r>
          </w:p>
        </w:tc>
        <w:tc>
          <w:tcPr>
            <w:tcW w:w="1404" w:type="dxa"/>
            <w:vMerge w:val="continue"/>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728" w:type="dxa"/>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r>
              <w:rPr>
                <w:rFonts w:hint="eastAsia" w:ascii="仿宋_GB2312" w:hAnsi="仿宋_GB2312" w:eastAsia="仿宋_GB2312" w:cs="仿宋_GB2312"/>
                <w:color w:val="000000"/>
                <w:kern w:val="0"/>
                <w:szCs w:val="21"/>
                <w:lang w:bidi="ar"/>
              </w:rPr>
              <w:t>5</w:t>
            </w:r>
          </w:p>
        </w:tc>
        <w:tc>
          <w:tcPr>
            <w:tcW w:w="1966" w:type="dxa"/>
            <w:vAlign w:val="center"/>
          </w:tcPr>
          <w:p>
            <w:pPr>
              <w:adjustRightInd w:val="0"/>
              <w:snapToGrid w:val="0"/>
              <w:spacing w:before="100" w:after="100"/>
              <w:jc w:val="center"/>
              <w:rPr>
                <w:rFonts w:ascii="仿宋_GB2312" w:hAnsi="仿宋_GB2312" w:eastAsia="仿宋_GB2312" w:cs="仿宋_GB2312"/>
                <w:color w:val="000000"/>
                <w:kern w:val="0"/>
                <w:szCs w:val="21"/>
                <w:lang w:bidi="ar"/>
              </w:rPr>
            </w:pPr>
            <w:r>
              <w:rPr>
                <w:rFonts w:hint="eastAsia" w:ascii="仿宋_GB2312" w:hAnsi="仿宋_GB2312" w:eastAsia="仿宋_GB2312" w:cs="仿宋_GB2312"/>
                <w:color w:val="000000"/>
                <w:kern w:val="0"/>
                <w:szCs w:val="21"/>
                <w:lang w:bidi="ar"/>
              </w:rPr>
              <w:t>配套管道（含耐压阀门井）</w:t>
            </w: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检查管道及管件接口是否漏气、破损，如有发现及时修补。</w:t>
            </w:r>
          </w:p>
        </w:tc>
        <w:tc>
          <w:tcPr>
            <w:tcW w:w="1404" w:type="dxa"/>
            <w:vAlign w:val="center"/>
          </w:tcPr>
          <w:p>
            <w:pPr>
              <w:adjustRightInd w:val="0"/>
              <w:snapToGrid w:val="0"/>
              <w:spacing w:before="100" w:after="100"/>
              <w:jc w:val="center"/>
              <w:rPr>
                <w:rFonts w:ascii="仿宋_GB2312" w:hAnsi="仿宋_GB2312" w:eastAsia="仿宋_GB2312" w:cs="仿宋_GB2312"/>
                <w:b/>
                <w:bCs/>
                <w:color w:val="000000"/>
                <w:kern w:val="0"/>
                <w:szCs w:val="21"/>
                <w:lang w:bidi="ar"/>
              </w:rPr>
            </w:pPr>
            <w:r>
              <w:rPr>
                <w:rFonts w:hint="eastAsia" w:ascii="仿宋_GB2312" w:hAnsi="仿宋_GB2312" w:eastAsia="仿宋_GB2312" w:cs="仿宋_GB2312"/>
                <w:szCs w:val="21"/>
              </w:rPr>
              <w:t>一个月一次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8752" w:type="dxa"/>
            <w:gridSpan w:val="4"/>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b/>
                <w:bCs/>
                <w:color w:val="000000"/>
                <w:kern w:val="0"/>
                <w:szCs w:val="21"/>
                <w:lang w:bidi="ar"/>
              </w:rPr>
              <w:t>（二）东溪内源生态修复项目</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8" w:type="dxa"/>
            <w:vMerge w:val="restart"/>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1</w:t>
            </w:r>
          </w:p>
        </w:tc>
        <w:tc>
          <w:tcPr>
            <w:tcW w:w="1966" w:type="dxa"/>
            <w:vMerge w:val="restart"/>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阵列可控纳米溶氧盘</w:t>
            </w: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检查各取样、微生物投加单元是否正常。</w:t>
            </w:r>
          </w:p>
        </w:tc>
        <w:tc>
          <w:tcPr>
            <w:tcW w:w="1404" w:type="dxa"/>
            <w:vMerge w:val="restart"/>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半年一次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将阵列可控纳米溶氧盘提升至水面，由厂家进行检修。</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定期进行手动操作，检查应急控制系统的可靠性。</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728" w:type="dxa"/>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2</w:t>
            </w:r>
          </w:p>
        </w:tc>
        <w:tc>
          <w:tcPr>
            <w:tcW w:w="1966" w:type="dxa"/>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湖库流域的生态因子及基因表达纳米调控设备</w:t>
            </w: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定期对于设备各元器件进行测试，调控单元、自动化单元等保证检测和动作的精确、进行手动操作，检查应急控制系统的可靠性。</w:t>
            </w:r>
          </w:p>
        </w:tc>
        <w:tc>
          <w:tcPr>
            <w:tcW w:w="140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三个月一次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728" w:type="dxa"/>
            <w:vMerge w:val="restart"/>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3</w:t>
            </w:r>
          </w:p>
        </w:tc>
        <w:tc>
          <w:tcPr>
            <w:tcW w:w="1966" w:type="dxa"/>
            <w:vMerge w:val="restart"/>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微纳米气泡发生装置和微气泡扩散设备</w:t>
            </w: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定期检查各传感器运行情况。</w:t>
            </w:r>
          </w:p>
        </w:tc>
        <w:tc>
          <w:tcPr>
            <w:tcW w:w="1404" w:type="dxa"/>
            <w:vMerge w:val="restart"/>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三个月一次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定期按要求对于水泵进行维护。</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定期对于气源处理单元进行定期更换损耗品。</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微纳米发生装置需定期停机检查电气部分是否受潮，绝缘是否良好，接地是否良好。</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设备间需要保证干燥、通风良好、空气洁净。</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728" w:type="dxa"/>
            <w:vMerge w:val="restart"/>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4</w:t>
            </w:r>
          </w:p>
        </w:tc>
        <w:tc>
          <w:tcPr>
            <w:tcW w:w="1966" w:type="dxa"/>
            <w:vMerge w:val="restart"/>
            <w:vAlign w:val="center"/>
          </w:tcPr>
          <w:p>
            <w:pPr>
              <w:adjustRightInd w:val="0"/>
              <w:snapToGrid w:val="0"/>
              <w:spacing w:before="100" w:after="100"/>
              <w:jc w:val="center"/>
              <w:rPr>
                <w:rFonts w:ascii="仿宋_GB2312" w:hAnsi="仿宋_GB2312" w:eastAsia="仿宋_GB2312" w:cs="仿宋_GB2312"/>
                <w:szCs w:val="21"/>
              </w:rPr>
            </w:pPr>
            <w:r>
              <w:rPr>
                <w:rFonts w:hint="eastAsia" w:ascii="仿宋_GB2312" w:hAnsi="仿宋_GB2312" w:eastAsia="仿宋_GB2312" w:cs="仿宋_GB2312"/>
                <w:szCs w:val="21"/>
              </w:rPr>
              <w:t>中央控制系统</w:t>
            </w: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定期对于设备各元器件进行测试，保证检测和动作的精确。</w:t>
            </w:r>
          </w:p>
        </w:tc>
        <w:tc>
          <w:tcPr>
            <w:tcW w:w="1404" w:type="dxa"/>
            <w:vMerge w:val="restart"/>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三个月一次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line="240" w:lineRule="exact"/>
              <w:rPr>
                <w:rFonts w:ascii="仿宋_GB2312" w:hAnsi="仿宋_GB2312" w:eastAsia="仿宋_GB2312" w:cs="仿宋_GB2312"/>
                <w:szCs w:val="21"/>
              </w:rPr>
            </w:pPr>
            <w:r>
              <w:rPr>
                <w:rFonts w:hint="eastAsia" w:ascii="仿宋_GB2312" w:hAnsi="仿宋_GB2312" w:eastAsia="仿宋_GB2312" w:cs="仿宋_GB2312"/>
                <w:szCs w:val="21"/>
              </w:rPr>
              <w:t>定期对于多参数水环境监测单元的各个探头或测定装置进行定期校准，并按要求进行保养。</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定期需要定期对于物化环境因子驱动单元内部消耗品进行更换，需清洗的部件应定期检查清理。</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定期对于微生物培养和驯化系统进行整机清洗，保证系统培养的特定菌群的优势。</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定期进行手动操作，检查应急控制系统的可靠性。</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728"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1966" w:type="dxa"/>
            <w:vMerge w:val="continue"/>
            <w:vAlign w:val="center"/>
          </w:tcPr>
          <w:p>
            <w:pPr>
              <w:adjustRightInd w:val="0"/>
              <w:snapToGrid w:val="0"/>
              <w:spacing w:before="100" w:after="100"/>
              <w:jc w:val="center"/>
              <w:rPr>
                <w:rFonts w:ascii="仿宋_GB2312" w:hAnsi="仿宋_GB2312" w:eastAsia="仿宋_GB2312" w:cs="仿宋_GB2312"/>
                <w:szCs w:val="21"/>
              </w:rPr>
            </w:pPr>
          </w:p>
        </w:tc>
        <w:tc>
          <w:tcPr>
            <w:tcW w:w="4654" w:type="dxa"/>
            <w:vAlign w:val="center"/>
          </w:tcPr>
          <w:p>
            <w:pPr>
              <w:adjustRightInd w:val="0"/>
              <w:snapToGrid w:val="0"/>
              <w:spacing w:before="100" w:after="100"/>
              <w:rPr>
                <w:rFonts w:ascii="仿宋_GB2312" w:hAnsi="仿宋_GB2312" w:eastAsia="仿宋_GB2312" w:cs="仿宋_GB2312"/>
                <w:szCs w:val="21"/>
              </w:rPr>
            </w:pPr>
            <w:r>
              <w:rPr>
                <w:rFonts w:hint="eastAsia" w:ascii="仿宋_GB2312" w:hAnsi="仿宋_GB2312" w:eastAsia="仿宋_GB2312" w:cs="仿宋_GB2312"/>
                <w:szCs w:val="21"/>
              </w:rPr>
              <w:t>定期对于生化环境因子驱动单元进行整机清洗。</w:t>
            </w:r>
          </w:p>
        </w:tc>
        <w:tc>
          <w:tcPr>
            <w:tcW w:w="1404" w:type="dxa"/>
            <w:vMerge w:val="continue"/>
            <w:vAlign w:val="center"/>
          </w:tcPr>
          <w:p>
            <w:pPr>
              <w:adjustRightInd w:val="0"/>
              <w:snapToGrid w:val="0"/>
              <w:spacing w:before="100" w:after="100"/>
              <w:rPr>
                <w:rFonts w:ascii="仿宋_GB2312" w:hAnsi="仿宋_GB2312" w:eastAsia="仿宋_GB2312" w:cs="仿宋_GB2312"/>
                <w:szCs w:val="21"/>
              </w:rPr>
            </w:pPr>
          </w:p>
        </w:tc>
      </w:tr>
    </w:tbl>
    <w:p>
      <w:pPr>
        <w:pStyle w:val="2"/>
        <w:rPr>
          <w:rFonts w:ascii="宋体" w:hAnsi="宋体" w:cs="宋体"/>
          <w:sz w:val="28"/>
          <w:szCs w:val="28"/>
        </w:rPr>
      </w:pPr>
    </w:p>
    <w:p>
      <w:pPr>
        <w:pStyle w:val="2"/>
        <w:rPr>
          <w:rFonts w:ascii="宋体" w:hAnsi="宋体" w:cs="宋体"/>
          <w:sz w:val="28"/>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微软雅黑"/>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auto"/>
    <w:pitch w:val="default"/>
    <w:sig w:usb0="00000000" w:usb1="00000000" w:usb2="00000000" w:usb3="00000000" w:csb0="00040000" w:csb1="00000000"/>
  </w:font>
  <w:font w:name="楷体_GB2312">
    <w:altName w:val="楷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A271BE"/>
    <w:rsid w:val="47A27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widowControl/>
      <w:spacing w:before="100" w:beforeAutospacing="1" w:after="100" w:afterAutospacing="1"/>
      <w:jc w:val="left"/>
      <w:outlineLvl w:val="0"/>
    </w:pPr>
    <w:rPr>
      <w:rFonts w:ascii="宋体" w:hAnsi="宋体"/>
      <w:b/>
      <w:kern w:val="36"/>
      <w:sz w:val="32"/>
      <w:szCs w:val="21"/>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2">
    <w:name w:val="Fließtext"/>
    <w:basedOn w:val="1"/>
    <w:qFormat/>
    <w:uiPriority w:val="0"/>
    <w:pPr>
      <w:overflowPunct w:val="0"/>
      <w:autoSpaceDE w:val="0"/>
      <w:autoSpaceDN w:val="0"/>
      <w:adjustRightInd w:val="0"/>
      <w:textAlignment w:val="baseline"/>
    </w:pPr>
    <w:rPr>
      <w:kern w:val="28"/>
      <w:szCs w:val="20"/>
    </w:rPr>
  </w:style>
  <w:style w:type="table" w:customStyle="1" w:styleId="6">
    <w:name w:val="华东表格"/>
    <w:basedOn w:val="4"/>
    <w:qFormat/>
    <w:uiPriority w:val="99"/>
    <w:pPr>
      <w:adjustRightInd w:val="0"/>
      <w:snapToGrid w:val="0"/>
      <w:spacing w:before="100" w:after="100"/>
      <w:jc w:val="center"/>
    </w:pPr>
    <w:tblP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cPr>
      <w:vAlign w:val="center"/>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2021-12-21T04:04:00Z</dcterms:created>
  <dc:creator>Administrator</dc:creator>
  <cp:lastModifiedBy>Administrator</cp:lastModifiedBy>
  <dcterms:modified xsi:type="dcterms:W3CDTF">2021-12-21T04:05:24Z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