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overflowPunct/>
        <w:topLinePunct w:val="0"/>
        <w:autoSpaceDE/>
        <w:autoSpaceDN/>
        <w:bidi w:val="0"/>
        <w:adjustRightInd w:val="0"/>
        <w:spacing w:before="0" w:beforeAutospacing="0" w:after="0" w:afterAutospacing="0" w:line="560" w:lineRule="exact"/>
        <w:ind w:right="0"/>
        <w:jc w:val="left"/>
        <w:textAlignment w:val="auto"/>
        <w:rPr>
          <w:rFonts w:hint="eastAsia" w:ascii="仿宋_GB2312" w:eastAsia="仿宋_GB2312" w:cs="仿宋_GB2312"/>
          <w:b/>
          <w:bCs/>
          <w:color w:val="000000"/>
          <w:kern w:val="0"/>
          <w:sz w:val="32"/>
          <w:szCs w:val="32"/>
          <w:lang w:val="en-US" w:eastAsia="zh-CN" w:bidi="ar"/>
        </w:rPr>
      </w:pPr>
      <w:r>
        <w:rPr>
          <w:rFonts w:hint="eastAsia" w:ascii="仿宋_GB2312" w:eastAsia="仿宋_GB2312" w:cs="仿宋_GB2312"/>
          <w:b/>
          <w:bCs/>
          <w:color w:val="000000"/>
          <w:kern w:val="0"/>
          <w:sz w:val="32"/>
          <w:szCs w:val="32"/>
          <w:lang w:val="en-US" w:eastAsia="zh-CN" w:bidi="ar"/>
        </w:rPr>
        <w:t>附件1</w:t>
      </w:r>
    </w:p>
    <w:p>
      <w:pPr>
        <w:keepNext w:val="0"/>
        <w:keepLines w:val="0"/>
        <w:pageBreakBefore w:val="0"/>
        <w:widowControl/>
        <w:suppressLineNumbers w:val="0"/>
        <w:kinsoku/>
        <w:overflowPunct/>
        <w:topLinePunct w:val="0"/>
        <w:autoSpaceDE/>
        <w:autoSpaceDN/>
        <w:bidi w:val="0"/>
        <w:adjustRightInd w:val="0"/>
        <w:spacing w:before="0" w:beforeAutospacing="0" w:after="0" w:afterAutospacing="0" w:line="560" w:lineRule="exact"/>
        <w:ind w:right="0"/>
        <w:jc w:val="center"/>
        <w:textAlignment w:val="auto"/>
        <w:rPr>
          <w:rFonts w:hint="eastAsia" w:ascii="方正小标宋简体" w:hAnsi="方正小标宋简体" w:eastAsia="方正小标宋简体" w:cs="方正小标宋简体"/>
          <w:color w:val="000000"/>
          <w:kern w:val="0"/>
          <w:sz w:val="44"/>
          <w:szCs w:val="44"/>
          <w:lang w:val="en-US" w:eastAsia="zh-CN" w:bidi="ar"/>
        </w:rPr>
      </w:pPr>
      <w:r>
        <w:rPr>
          <w:rFonts w:hint="eastAsia" w:ascii="方正小标宋简体" w:hAnsi="方正小标宋简体" w:eastAsia="方正小标宋简体" w:cs="方正小标宋简体"/>
          <w:color w:val="000000"/>
          <w:kern w:val="0"/>
          <w:sz w:val="44"/>
          <w:szCs w:val="44"/>
          <w:lang w:val="en-US" w:eastAsia="zh-CN" w:bidi="ar"/>
        </w:rPr>
        <w:t>2022年平潭综合实验区“双随机、一公开”跨部门联合抽查计划</w:t>
      </w:r>
    </w:p>
    <w:p>
      <w:pPr>
        <w:keepNext w:val="0"/>
        <w:keepLines w:val="0"/>
        <w:pageBreakBefore w:val="0"/>
        <w:widowControl/>
        <w:suppressLineNumbers w:val="0"/>
        <w:kinsoku/>
        <w:overflowPunct/>
        <w:topLinePunct w:val="0"/>
        <w:autoSpaceDE/>
        <w:autoSpaceDN/>
        <w:bidi w:val="0"/>
        <w:adjustRightInd w:val="0"/>
        <w:spacing w:before="0" w:beforeAutospacing="0" w:after="0" w:afterAutospacing="0" w:line="560" w:lineRule="exact"/>
        <w:ind w:left="0" w:right="0" w:firstLine="640" w:firstLineChars="200"/>
        <w:jc w:val="center"/>
        <w:textAlignment w:val="auto"/>
        <w:rPr>
          <w:rFonts w:hint="eastAsia" w:ascii="仿宋_GB2312" w:eastAsia="仿宋_GB2312" w:cs="仿宋_GB2312"/>
          <w:color w:val="000000"/>
          <w:kern w:val="0"/>
          <w:sz w:val="32"/>
          <w:szCs w:val="32"/>
          <w:lang w:val="en-US" w:eastAsia="zh-CN" w:bidi="ar"/>
        </w:rPr>
      </w:pPr>
    </w:p>
    <w:tbl>
      <w:tblPr>
        <w:tblStyle w:val="3"/>
        <w:tblW w:w="15735" w:type="dxa"/>
        <w:tblInd w:w="-6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10"/>
        <w:gridCol w:w="1455"/>
        <w:gridCol w:w="1110"/>
        <w:gridCol w:w="1215"/>
        <w:gridCol w:w="1380"/>
        <w:gridCol w:w="1875"/>
        <w:gridCol w:w="3375"/>
        <w:gridCol w:w="2175"/>
        <w:gridCol w:w="1380"/>
        <w:gridCol w:w="12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4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序号</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抽查任务</w:t>
            </w:r>
            <w:r>
              <w:rPr>
                <w:rFonts w:hint="eastAsia" w:ascii="宋体" w:hAnsi="宋体" w:eastAsia="宋体" w:cs="宋体"/>
                <w:b/>
                <w:i w:val="0"/>
                <w:color w:val="000000"/>
                <w:kern w:val="0"/>
                <w:sz w:val="24"/>
                <w:szCs w:val="24"/>
                <w:u w:val="none"/>
                <w:lang w:val="en-US" w:eastAsia="zh-CN" w:bidi="ar"/>
              </w:rPr>
              <w:br w:type="textWrapping"/>
            </w:r>
            <w:r>
              <w:rPr>
                <w:rFonts w:hint="eastAsia" w:ascii="宋体" w:hAnsi="宋体" w:eastAsia="宋体" w:cs="宋体"/>
                <w:b/>
                <w:i w:val="0"/>
                <w:color w:val="000000"/>
                <w:kern w:val="0"/>
                <w:sz w:val="24"/>
                <w:szCs w:val="24"/>
                <w:u w:val="none"/>
                <w:lang w:val="en-US" w:eastAsia="zh-CN" w:bidi="ar"/>
              </w:rPr>
              <w:t>名称</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组织抽查牵头单位</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组织抽查配合单位</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抽查对象</w:t>
            </w:r>
            <w:r>
              <w:rPr>
                <w:rFonts w:hint="eastAsia" w:ascii="宋体" w:hAnsi="宋体" w:eastAsia="宋体" w:cs="宋体"/>
                <w:b/>
                <w:i w:val="0"/>
                <w:color w:val="000000"/>
                <w:kern w:val="0"/>
                <w:sz w:val="24"/>
                <w:szCs w:val="24"/>
                <w:u w:val="none"/>
                <w:lang w:val="en-US" w:eastAsia="zh-CN" w:bidi="ar"/>
              </w:rPr>
              <w:br w:type="textWrapping"/>
            </w:r>
            <w:r>
              <w:rPr>
                <w:rFonts w:hint="eastAsia" w:ascii="宋体" w:hAnsi="宋体" w:eastAsia="宋体" w:cs="宋体"/>
                <w:b/>
                <w:i w:val="0"/>
                <w:color w:val="000000"/>
                <w:kern w:val="0"/>
                <w:sz w:val="24"/>
                <w:szCs w:val="24"/>
                <w:u w:val="none"/>
                <w:lang w:val="en-US" w:eastAsia="zh-CN" w:bidi="ar"/>
              </w:rPr>
              <w:t>（行业企业、产品、项目等）</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抽查比例</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检查具体事项</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抽查事项性质（一般检查事项、重点检查事项）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计划抽查时间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实施检查单位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4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2022年下半年企业年报公示信息抽查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商务厅、人社等多报合一部门</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所有行业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全区2021年末企业实有数的3%（与其他任务可合并实施，根据实际情况实施信用分类差异化比例抽取）</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1.2021年度企业年报、及时公示信息；</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2.其中属于宾馆饭店、商场超市的主体进行1+X专项督查；</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3.外商投资信息报告；</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4.社保填报信息检查；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下半年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区市场监管局、经发局、社会事业局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生态环境监测机构“双随机、一公开”监督检查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区资源生态局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生态环境监测机构</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0.3</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生态环境监测机构开展监测活动的检查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11月底前</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区市场监管局、资源生态局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机动车检验机构“双随机、一公开”监督检查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区公安局、资源生态局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机动车检验机构</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0.5</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1.机动车排放检验环节检查；     2、机动车安全性能检验过程检查；3、机构管理体系运行及资质认定符合情况检查等。</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11月底前</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区市场监管局、公安局、资源生态局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9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4</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机动车获得强制性产品认证情况检查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区经发局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机动车销售企业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1%-3%</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开展对机动车强制性产品的认证证书、认证标志使用、产品获证信息等认证情况检查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11月底前</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区市场监管局、经发局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6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平台企业及平台内经营者监督检查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区税务局及相关主管部门</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平台型企业及其平台内经营者</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平台企业按照不低于10%的比例抽取；平台企业按照3%的比例自查平台内经营者，联查部门根据实际抽取平台体量制定核查比例。</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平台企业：</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1．平台企业对平台内经营者登记核验制度建立情况。</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2．平台企业对平台内经营者有效退出机制及后续处理相关规定。</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3.平台企业是否按照要求进行税务登记，是否按期、如实办理纳税申报，按期缴纳税款。</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4.平台企业是否依法设置账簿、保管账簿和有关资料以及依法开具、使用、取得和保管发票。</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平台内经营者：</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1.平台内经营者身份真实性的检查。</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2.年度年报公示信息的真实性、准确性。</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3.平台内经营者是否按照要求进行税务登记，是否按期、如实办理纳税申报，按期缴纳税款。</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4.平台内经营者是否依法设置账簿、保管账簿和有关资料以及依法开具、使用、取得和保管发票。</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2022年全年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平潭综合实验区市场监管局、税务局及相关主管部门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4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6</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出口商品生产企业检查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平潭海关</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平潭综合实验区市场监督管理局、国家税务总局平潭综合实验区税务局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注册在平潭综合实验区的出口商品生产企业的检查（出口备案食品生产领域）</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1%（按抽取比例不足1家的选取1家开展）</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出口备案食品生产企业核查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全年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平潭海关、平潭综合实验区市场监督管理局、国家税务总局平潭综合实验区税务局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78"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7</w:t>
            </w:r>
          </w:p>
        </w:tc>
        <w:tc>
          <w:tcPr>
            <w:tcW w:w="1455" w:type="dxa"/>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对雷电灾害防御工作的检查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平潭综合实验区气象局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执法与应急局、经</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发局、交建局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防雷安全重点单位</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1.检查防雷装置安装运行状况、防雷安全隐患排查整改等情况；</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2.检查防雷装置设计审核、竣工验收、定期检测等情况；</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3.检查防雷安全管理、防雷装置设计核准意见书、防雷装置验收意见书、防雷安全隐患排查整改记录、防雷装置检测报告、防雷安全教育培训、防雷安全档案等文件资料。</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重点检查</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5-10月</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平潭综合实验区气</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象局、执法与应急</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局、经发局、交建局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75"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8</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对防雷装置检测单位的检查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平潭综合实验区气象局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区市场监督管理局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防雷装置检测资质</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单位</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1.检查检测单位资质情况；</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2.检查检测项目表、检测报告、检测合同、检测活动资料等文件资料；</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3.检查具体检测项目。</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重点检查</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2-10月</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平潭综合实验区气</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象局、市场监督管理局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96"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9</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图书、音像制品经营企业检查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平潭综合实验区宣传影视部</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图书、音像制品经营企业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注册名称中含“图书、音像”字样的抽20%。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1.登记事项检查（重点检查企业经营地址与注册地址是否一致等）；</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2.取得许可证情况的检查（重点检查企业是否有出版物经营许可证、许可证信息与营业执照信息是否一致等）；</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3.企业经营行为检查（重点检查是否能够提供进货凭证）。</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2022年1月-6月</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平潭综合实验区市场监管局、区宣传影视部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w:t>
            </w:r>
          </w:p>
        </w:tc>
        <w:tc>
          <w:tcPr>
            <w:tcW w:w="145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对类金融企业的抽查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区市场监督管理局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名称中含“金融、交易所、交易中心、理财、网贷、网络借贷、股权众筹”字样的企业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检查企业是否具备经营条件、检查企业是否依法依规办理相关事项的登记和许可，以及原有登记和许可是否仍合法有效，是否存在涉嫌非法集资等违法违规经营行为等。</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2022年上半年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区财金局、市场监督管理局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11</w:t>
            </w:r>
          </w:p>
        </w:tc>
        <w:tc>
          <w:tcPr>
            <w:tcW w:w="145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仿宋_GB2312" w:hAnsi="宋体" w:eastAsia="仿宋_GB2312" w:cs="仿宋_GB2312"/>
                <w:i w:val="0"/>
                <w:color w:val="000000"/>
                <w:sz w:val="20"/>
                <w:szCs w:val="20"/>
                <w:u w:val="none"/>
              </w:rPr>
            </w:pP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区市场监督管理局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名称中含“资产管理、基金、基金管理、投资管理、股权投资基金”字样的企业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检查企业是否具备经营条件、检查企业是否依法依规办理相关事项的登记和许可，以及原有登记和许可是否仍合法有效，是否存在涉嫌非法集资等违法违规经营行为等。</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2022年上半年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区财金局、市场监督管理局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12</w:t>
            </w:r>
          </w:p>
        </w:tc>
        <w:tc>
          <w:tcPr>
            <w:tcW w:w="145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对地方金融组织的抽查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区市场监督管理局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小额贷款</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检查企业是否具备经营条件、检查企业是否依法依规办理相关事项的登记和许可，以及原有登记和许可是否仍合法有效，是否存在涉嫌非法集资等违法违规经营行为等。</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2022年上半年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区财金局、市场监督管理局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7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13</w:t>
            </w:r>
          </w:p>
        </w:tc>
        <w:tc>
          <w:tcPr>
            <w:tcW w:w="145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仿宋_GB2312" w:hAnsi="宋体" w:eastAsia="仿宋_GB2312" w:cs="仿宋_GB2312"/>
                <w:i w:val="0"/>
                <w:color w:val="000000"/>
                <w:sz w:val="20"/>
                <w:szCs w:val="20"/>
                <w:u w:val="none"/>
              </w:rPr>
            </w:pP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区市场监督管理局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融资担保</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检查企业是否具备经营条件、检查企业是否依法依规办理相关事项的登记和许可，以及原有登记和许可是否仍合法有效，是否存在涉嫌非法集资等违法违规经营行为等。</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2022年上半年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区财金局、市场监督管理局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14</w:t>
            </w:r>
          </w:p>
        </w:tc>
        <w:tc>
          <w:tcPr>
            <w:tcW w:w="145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仿宋_GB2312" w:hAnsi="宋体" w:eastAsia="仿宋_GB2312" w:cs="仿宋_GB2312"/>
                <w:i w:val="0"/>
                <w:color w:val="000000"/>
                <w:sz w:val="20"/>
                <w:szCs w:val="20"/>
                <w:u w:val="none"/>
              </w:rPr>
            </w:pP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区市场监督管理局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典当行</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检查企业是否具备经营条件、检查企业是否依法依规办理相关事项的登记和许可，以及原有登记和许可是否仍合法有效，是否存在涉嫌非法集资等违法违规经营行为等。</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2022年上半年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区财金局、市场监督管理局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15</w:t>
            </w:r>
          </w:p>
        </w:tc>
        <w:tc>
          <w:tcPr>
            <w:tcW w:w="145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仿宋_GB2312" w:hAnsi="宋体" w:eastAsia="仿宋_GB2312" w:cs="仿宋_GB2312"/>
                <w:i w:val="0"/>
                <w:color w:val="000000"/>
                <w:sz w:val="20"/>
                <w:szCs w:val="20"/>
                <w:u w:val="none"/>
              </w:rPr>
            </w:pP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区市场监督管理局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融资租赁</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检查企业是否具备经营条件、检查企业是否依法依规办理相关事项的登记和许可，以及原有登记和许可是否仍合法有效，是否存在涉嫌非法集资等违法违规经营行为等。</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2022年上半年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区财金局、市场监督管理局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16</w:t>
            </w:r>
          </w:p>
        </w:tc>
        <w:tc>
          <w:tcPr>
            <w:tcW w:w="145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仿宋_GB2312" w:hAnsi="宋体" w:eastAsia="仿宋_GB2312" w:cs="仿宋_GB2312"/>
                <w:i w:val="0"/>
                <w:color w:val="000000"/>
                <w:sz w:val="20"/>
                <w:szCs w:val="20"/>
                <w:u w:val="none"/>
              </w:rPr>
            </w:pP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区市场监督管理局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商业保理</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检查企业是否具备经营条件、检查企业是否依法依规办理相关事项的登记和许可，以及原有登记和许可是否仍合法有效，是否存在涉嫌非法集资等违法违规经营行为等。</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2022年上半年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区财金局、市场监督管理局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17</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人力资源服务机构经营行为检查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区党群工作部</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区社会事业局、执法应急局、市场监管局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人力资源服务机构</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1.证照情况；</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2.人力资源服务活动规范情况；</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3.招用工行为检查；</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4.其他配合检查项目。</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2022年5月-6月</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区党群工作部、社会事业局、执法应急局、市场监管局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0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18</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宾馆、旅店监督抽查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区公安局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宾馆、酒店</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 xml:space="preserve">1.宾馆、旅店是否落实实名登记；     </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2.旅馆内部安全防范建设是否达标;</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3.消防是否达标;</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4.是否亮证经营，是否取得营业执照；                        5.宾馆、旅店卫生情况是否达标。</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重点检查事项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2022年10月中旬前</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区公安局治安巡特警支队、市场监管局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19</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保安行业相关单位抽查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区公安局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保安服务公司、保安培训机构</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 xml:space="preserve">1.保安从业单位是否亮证经营，是否取得营业执照;              2.保安单位内部是否落实安全防范措施;                       3.治安管理制度是否制定并落实;         </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 xml:space="preserve">4.保安培训单位及其培训活动情况的检查；                     5.其他检查事项。           </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重点检查事项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2022年10月中旬前</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区公安局治安巡特警支队、市场监管局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燃气经营许可证取得情况的检查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执法应急局、市场监管局等市场监管领域相关部门</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燃气经营单位</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检查燃气经营企业是否取得燃气经营许可证。</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2022年全年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21</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燃气经营监督检查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属地片区管理局、执法应急局、市场监管局、气象局、消防救援支队等部门</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全区燃气经营企业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检查燃气经营企业制度、安全生产、设施设备运行等情况。</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2022年全年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5"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22</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道路运输新业态（网络货运）企业检查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区执法应急局、市场监管局、税务局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网络货运平台企业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1.《道路运输经营许可证》、《企业法人营业执照》是否合法有效。</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2.已注册的企业是否运单数据上传。</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3.已许可的网络货运企业是否在省监测平台注册。</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4.网络货运经营者是否建立健全交易规则和服务协议。</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5.是否落实查验制度。</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6.网络货运运输企业是否制定安全生产管理制度要求。</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7.是否超范围提供危险货物运输业务。</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8.是否按规定明码标价。</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9.是否与具有竞争关系的经营者达成垄断协议。</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10.企业纳税申报情况。</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全年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区交通与建设局、区执法应急局、市场监管局、税务局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0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23</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道路运输新业态（网约车）企业检查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区执法应急局、市场监管局、税务局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网约车企业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1.车辆及驾驶员资质情况。</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2.驾驶员日常培训教育情况。</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3.网络服务平台数据库据接入监管平台情况。</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4.企业纳税申报情况。</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全年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区交通与建设局、区执法应急局、市场监管局、税务局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2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24</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道路运输车辆达标管理情况检查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市场监管领域相关部门</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机动车检验检测机构</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1.查看道路运输达标车辆核查机构是否取得市场监管部门颁发的资质认定证书,并在有效期内。</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2.抽查“道路运输达标车辆核查记录表”，核对相关参数配置、核查结论与道路运输车辆技术服务网公布车型信息是否一致。</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3.抽查“道路运输达标车辆核查记录表”是否填写完整。</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4.抽查道路运输达标车辆核查档案是否健全。</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5.抽查达标车辆核查人员是否熟悉工作规范、操作规范等情况。</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全年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区交通与建设局、市场监管领域相关部门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25</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建筑市场监督执法检查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城乡交建中心</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2022年在建房建项目</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3个</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建设项目的发包、分包等情况</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2022年12月底前</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区交通与建设局、城乡交建中心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26</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工程造价咨询企业抽查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城乡交建中心</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2022年在建房建项目</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3家</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工程造价成果质量</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2022年下半年一次</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区交通与建设局、城乡交建中心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27</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房地产市场监督执法检查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区交通与建设局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行政审批局、执法应急局，区行政服务中心</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房地产开发企业、房地产中介机构、物业服务企业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 xml:space="preserve">《平潭综合实验区交通与建设局等9部门关于印发&lt;关于持续整治规范房地产市场秩序的实施方案&gt;的通知》（岚交建住房〔2021〕33号）    </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2022年12月底前</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区交通建设局、行政审批局、执法应急局，区行政服务中心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28</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民用爆炸物品生产、流通、储存、销售的安全监督管理</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区经济发展局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区公安局、区交通建设局区、执法应急局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民用爆炸物品生产、流通、储存、销售企业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经发局：企业安全隐患排查及整改情况、民用爆炸物品生产经营单位安全生产培训开展情况。2.公安局：民爆物品购买、运输、爆破作业等事项的审核审批及安全监督管理，督促爆破作业单位落实企业主体责任；民爆物品类从业单位储存库“四防”(人防、物防、技防、犬防)验收及监督检查；民爆物品流向监管。3.交通建设局：危险货物道路运输企业、从业人员许可审批；督促运输民爆物品的道路危险货物运输企业落实企业主体责任。4.执法应急局：按照职责督促相关行业领域内涉及爆破作业的企业依法依规履行爆破作业安全管理职责。</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重点检查事项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上半年约5月份，下半年约9月份</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区经发局、区公安局、区交通建设局、区执法应急局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29</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报废机动车回收拆解活动监管</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区经济发展局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报废汽车回收拆解企业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报废汽车回收企业经营行为等检查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2022年下半年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w:t>
            </w:r>
            <w:r>
              <w:rPr>
                <w:rStyle w:val="6"/>
                <w:rFonts w:hAnsi="宋体"/>
                <w:lang w:val="en-US" w:eastAsia="zh-CN" w:bidi="ar"/>
              </w:rPr>
              <w:t>经济发展局</w:t>
            </w:r>
            <w:r>
              <w:rPr>
                <w:rStyle w:val="7"/>
                <w:rFonts w:hAnsi="宋体"/>
                <w:lang w:val="en-US" w:eastAsia="zh-CN" w:bidi="ar"/>
              </w:rPr>
              <w:t xml:space="preserve">、 </w:t>
            </w:r>
            <w:r>
              <w:rPr>
                <w:rStyle w:val="6"/>
                <w:rFonts w:hAnsi="宋体"/>
                <w:lang w:val="en-US" w:eastAsia="zh-CN" w:bidi="ar"/>
              </w:rPr>
              <w:t>区市场监管局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30</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单用途商业预付卡监管</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区经济发展局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单用途预付卡业务备案企业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单用途预付卡备案企业经营行为等检查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2022年下半年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w:t>
            </w:r>
            <w:r>
              <w:rPr>
                <w:rStyle w:val="6"/>
                <w:rFonts w:hAnsi="宋体"/>
                <w:lang w:val="en-US" w:eastAsia="zh-CN" w:bidi="ar"/>
              </w:rPr>
              <w:t>经济发展局</w:t>
            </w:r>
            <w:r>
              <w:rPr>
                <w:rStyle w:val="7"/>
                <w:rFonts w:hAnsi="宋体"/>
                <w:lang w:val="en-US" w:eastAsia="zh-CN" w:bidi="ar"/>
              </w:rPr>
              <w:t>、</w:t>
            </w:r>
            <w:r>
              <w:rPr>
                <w:rStyle w:val="6"/>
                <w:rFonts w:hAnsi="宋体"/>
                <w:lang w:val="en-US" w:eastAsia="zh-CN" w:bidi="ar"/>
              </w:rPr>
              <w:t>区市场监管局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31</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二手车市场监管</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区经济发展局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二手车交易市场和二手车经营主体</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二手车交易市场和二手车经营主体经营行为等检查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2022年下半年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w:t>
            </w:r>
            <w:r>
              <w:rPr>
                <w:rStyle w:val="6"/>
                <w:rFonts w:hAnsi="宋体"/>
                <w:lang w:val="en-US" w:eastAsia="zh-CN" w:bidi="ar"/>
              </w:rPr>
              <w:t>经济发展局</w:t>
            </w:r>
            <w:r>
              <w:rPr>
                <w:rStyle w:val="7"/>
                <w:rFonts w:hAnsi="宋体"/>
                <w:lang w:val="en-US" w:eastAsia="zh-CN" w:bidi="ar"/>
              </w:rPr>
              <w:t>、</w:t>
            </w:r>
            <w:r>
              <w:rPr>
                <w:rStyle w:val="6"/>
                <w:rFonts w:hAnsi="宋体"/>
                <w:lang w:val="en-US" w:eastAsia="zh-CN" w:bidi="ar"/>
              </w:rPr>
              <w:t>区市场监管局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32</w:t>
            </w:r>
          </w:p>
        </w:tc>
        <w:tc>
          <w:tcPr>
            <w:tcW w:w="1455"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对外劳务合作检查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区经济发展局</w:t>
            </w:r>
          </w:p>
        </w:tc>
        <w:tc>
          <w:tcPr>
            <w:tcW w:w="1215"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3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对外劳务合作企业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w:t>
            </w:r>
          </w:p>
        </w:tc>
        <w:tc>
          <w:tcPr>
            <w:tcW w:w="3375"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对外劳务合作企业经营行为等检查</w:t>
            </w:r>
          </w:p>
        </w:tc>
        <w:tc>
          <w:tcPr>
            <w:tcW w:w="2175"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2022年下半年</w:t>
            </w:r>
          </w:p>
        </w:tc>
        <w:tc>
          <w:tcPr>
            <w:tcW w:w="126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区经济发展局</w:t>
            </w:r>
            <w:r>
              <w:rPr>
                <w:rStyle w:val="8"/>
                <w:rFonts w:hAnsi="宋体"/>
                <w:lang w:val="en-US" w:eastAsia="zh-CN" w:bidi="ar"/>
              </w:rPr>
              <w:t>、</w:t>
            </w:r>
            <w:r>
              <w:rPr>
                <w:rStyle w:val="9"/>
                <w:rFonts w:hAnsi="宋体"/>
                <w:lang w:val="en-US" w:eastAsia="zh-CN" w:bidi="ar"/>
              </w:rPr>
              <w:t>区市场监管局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33</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成品油经营企业检查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区经济发展局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成品油经营企业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成品油经营企业经营行为等检查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2022年下半年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区经济发展局</w:t>
            </w:r>
            <w:r>
              <w:rPr>
                <w:rStyle w:val="8"/>
                <w:rFonts w:hAnsi="宋体"/>
                <w:lang w:val="en-US" w:eastAsia="zh-CN" w:bidi="ar"/>
              </w:rPr>
              <w:t>、</w:t>
            </w:r>
            <w:r>
              <w:rPr>
                <w:rStyle w:val="9"/>
                <w:rFonts w:hAnsi="宋体"/>
                <w:lang w:val="en-US" w:eastAsia="zh-CN" w:bidi="ar"/>
              </w:rPr>
              <w:t>区市场监管局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34</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统计执法“双随机”抽查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区经济发展局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行业企业、项目</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全区一套表企业0.5%</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统计指标数据、调查对象依法设置原始记录、统计台账情况检查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2022年全年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w:t>
            </w:r>
            <w:r>
              <w:rPr>
                <w:rStyle w:val="6"/>
                <w:rFonts w:hAnsi="宋体"/>
                <w:lang w:val="en-US" w:eastAsia="zh-CN" w:bidi="ar"/>
              </w:rPr>
              <w:t>经济发展局</w:t>
            </w:r>
            <w:r>
              <w:rPr>
                <w:rStyle w:val="7"/>
                <w:rFonts w:hAnsi="宋体"/>
                <w:lang w:val="en-US" w:eastAsia="zh-CN" w:bidi="ar"/>
              </w:rPr>
              <w:t>、</w:t>
            </w:r>
            <w:r>
              <w:rPr>
                <w:rStyle w:val="6"/>
                <w:rFonts w:hAnsi="宋体"/>
                <w:lang w:val="en-US" w:eastAsia="zh-CN" w:bidi="ar"/>
              </w:rPr>
              <w:t>区市场监管局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35</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旅行社行业监督检查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区旅游文体局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区市场监管局、旅游执法支队</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旅行社企业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15%/次</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1.旅行社取得许可证情况的检查</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2.旅行社经营情况的检查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2022年3月-10月，1次</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区旅游文体局、区市场监管局、区旅游执法支队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36</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互联网上网服务营业场所经营单位经营活动监督管理</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区旅游文体局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区公安局、市场监管局、文化综合执法支队</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互联网上网服务营业场所</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20%/次</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1.互联网上网服务营业场所经营单位取得许可证情况的检查</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2.互联网上网服务营业场所经营单位经营情况的检查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2022年2月-10月，1次</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区旅游文体局、公安局、市场监管局、文化综合执法支队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0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37</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艺术品经营单位的检查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区旅游文体局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区市场监管局、文化综合执法支队</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艺术品经营单位</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20%/次</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1.艺术品经营单位取得许可证情况的检查</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2.艺术品经营单位从事艺术品经营活动的检查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2022年2月-10月，1次</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区旅游文体局、市场监管局、文化综合执法支队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38</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农药监督检查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区农业农村局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区市场监管局、区执法与应急管理局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农药生产者、经营者，农药登记试验单位</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不低于10%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农药经营许可、购销台账建立等依法经营情况。</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上半年、下半年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区农业农村局、区市场监管局、区执法与应急管理局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39</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肥料监督检查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区农业农村局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区市场监管局、区执法与应急管理局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肥料生产经营者</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不低于10%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1.肥料产品登记备案情况；2.肥料生产、经营制度建设情况。</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上半年、下半年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区农业农村局、区市场监管局、区执法与应急管理局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40</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种子监督检查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区农业农村局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区市场监管局、区执法与应急管理局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种子生产经营者</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2"/>
                <w:szCs w:val="22"/>
                <w:u w:val="none"/>
              </w:rPr>
            </w:pPr>
            <w:r>
              <w:rPr>
                <w:rFonts w:hint="eastAsia" w:ascii="仿宋_GB2312" w:hAnsi="宋体" w:eastAsia="仿宋_GB2312" w:cs="仿宋_GB2312"/>
                <w:i w:val="0"/>
                <w:color w:val="000000"/>
                <w:kern w:val="0"/>
                <w:sz w:val="22"/>
                <w:szCs w:val="22"/>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持证种子企业生产经营活动开展情况；销售农作物种子主体经营活动</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上半年、下半年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区农业农村局、区市场监管局、区执法与应急管理局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6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41</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兽药监督检查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区农业农村局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区市场监管局、区执法与应急管理局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兽药生产经营企业，兽药使用单位</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2"/>
                <w:szCs w:val="22"/>
                <w:u w:val="none"/>
              </w:rPr>
            </w:pPr>
            <w:r>
              <w:rPr>
                <w:rFonts w:hint="eastAsia" w:ascii="仿宋_GB2312" w:hAnsi="宋体" w:eastAsia="仿宋_GB2312" w:cs="仿宋_GB2312"/>
                <w:i w:val="0"/>
                <w:color w:val="000000"/>
                <w:kern w:val="0"/>
                <w:sz w:val="22"/>
                <w:szCs w:val="22"/>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 xml:space="preserve">经营企业：1.是否有与所经营的兽药相适应的兽药技术人员；2.是否有与所经营的兽药相适应的营业场所、设备、仓库设施；3.是否有与所经营的兽药相适应的质量管理机构或者人员；4.是否有兽药经营质量管理规范规定的其他经营条件。 </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上半年、下半年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区农业农村局、区市场监管局、区执法与应急管理局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42</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饲料、饲料添加剂监督抽查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区农业农村局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区市场监管局、区执法与应急管理局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饲料和饲料添加剂生产企业和经营企业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2"/>
                <w:szCs w:val="22"/>
                <w:u w:val="none"/>
              </w:rPr>
            </w:pPr>
            <w:r>
              <w:rPr>
                <w:rFonts w:hint="eastAsia" w:ascii="仿宋_GB2312" w:hAnsi="宋体" w:eastAsia="仿宋_GB2312" w:cs="仿宋_GB2312"/>
                <w:i w:val="0"/>
                <w:color w:val="000000"/>
                <w:kern w:val="0"/>
                <w:sz w:val="22"/>
                <w:szCs w:val="22"/>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生产企业：1.生产许可证号是否真实有效； 2.是否附具产品质量检验合格证；3.是否附具标签，标签的内容是否符合规定。</w:t>
            </w:r>
            <w:r>
              <w:rPr>
                <w:rFonts w:hint="eastAsia" w:ascii="仿宋_GB2312" w:hAnsi="宋体" w:eastAsia="仿宋_GB2312" w:cs="仿宋_GB2312"/>
                <w:i w:val="0"/>
                <w:color w:val="000000"/>
                <w:kern w:val="0"/>
                <w:sz w:val="20"/>
                <w:szCs w:val="20"/>
                <w:u w:val="none"/>
                <w:lang w:val="en-US" w:eastAsia="zh-CN" w:bidi="ar"/>
              </w:rPr>
              <w:br w:type="textWrapping"/>
            </w:r>
            <w:r>
              <w:rPr>
                <w:rFonts w:hint="eastAsia" w:ascii="仿宋_GB2312" w:hAnsi="宋体" w:eastAsia="仿宋_GB2312" w:cs="仿宋_GB2312"/>
                <w:i w:val="0"/>
                <w:color w:val="000000"/>
                <w:kern w:val="0"/>
                <w:sz w:val="20"/>
                <w:szCs w:val="20"/>
                <w:u w:val="none"/>
                <w:lang w:val="en-US" w:eastAsia="zh-CN" w:bidi="ar"/>
              </w:rPr>
              <w:t>经营企业：1.是否对经营的饲料和饲料添加剂进行再加工或者添加物质；2.是否经营无产品标签、无生产许可证、无产品质量检验合格证的饲料和饲料添加剂；3.是否经营的饲料、饲料添加剂霉变或超过保质期。</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全年</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区农业农村局、区市场监管局、区执法与应急管理局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43</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学校办学情况抽查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区社会事业局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市场监管领域相关部门</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各类学校</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2.0%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中小学教育装备产品（含文体教育用品、教学仪器、校服等）检查、学校招生、办学情况的检查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9月份</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区社会事业局、市场监管领域相关部门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44</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校车交通安全检查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区社会事业局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区公安、交建局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全区配备校车的中小学校和幼儿园</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15.0%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全区配备校车的学校和校车服务提供者履行校车安全管理职责情况</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9月份</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区社会事业局、区公安、交建局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45</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劳动用工监管</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区社会事业局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区市场监管局、税务局、交建局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各类用人单位、劳务派遣相关单位</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0.1%</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各类用人单位（与劳动者建立劳动关系）工资支付情况检查、劳务派遣用工检查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6月份、12月份</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区社会事业局、区市场监管局、税务局、交建局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46</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校外培训机构检查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区社会事业局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区市场监管局及相关部门</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校外培训机构</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color w:val="000000"/>
                <w:sz w:val="20"/>
                <w:szCs w:val="20"/>
                <w:u w:val="none"/>
              </w:rPr>
            </w:pPr>
            <w:r>
              <w:rPr>
                <w:rFonts w:hint="eastAsia" w:ascii="宋体" w:hAnsi="宋体" w:eastAsia="宋体" w:cs="宋体"/>
                <w:i w:val="0"/>
                <w:color w:val="000000"/>
                <w:kern w:val="0"/>
                <w:sz w:val="20"/>
                <w:szCs w:val="20"/>
                <w:u w:val="none"/>
                <w:lang w:val="en-US" w:eastAsia="zh-CN" w:bidi="ar"/>
              </w:rPr>
              <w:t>10.0%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证照、培训行为、安全隐患、广告宣传、收费管理等情况检查。</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9月份</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区社会事业局、区市场监管局及相关部门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4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47</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对林木种苗生产经营的行政检查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区资源生态局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区市场监督管理局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林木种子生产经营企业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现有资质、条件是否符合林木种子生产经营许可证核发的有关规定；2.林木种苗生产经营情况（是否按照许可证登记的范围、方式、有效期和生产经营种类等从事林木种子生产经营活动）；3.生产经营档案和业务登记等制度建立和执行情况；4.执行自检、标签、检疫、包装和广告等制度情况；5.是否有违法或者被处罚记录；6.其他遵守国家法律、法规、政策的情况。</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1-12月</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区资源生态局及相关配合部门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0" w:hRule="atLeast"/>
        </w:trPr>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48</w:t>
            </w:r>
          </w:p>
        </w:tc>
        <w:tc>
          <w:tcPr>
            <w:tcW w:w="14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对野生动物保护的监督检查</w:t>
            </w:r>
          </w:p>
        </w:tc>
        <w:tc>
          <w:tcPr>
            <w:tcW w:w="111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区资源生态局</w:t>
            </w:r>
          </w:p>
        </w:tc>
        <w:tc>
          <w:tcPr>
            <w:tcW w:w="121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区市场监督管理局</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从事野生动物保护及相关活动企业</w:t>
            </w:r>
          </w:p>
        </w:tc>
        <w:tc>
          <w:tcPr>
            <w:tcW w:w="18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50%</w:t>
            </w:r>
          </w:p>
        </w:tc>
        <w:tc>
          <w:tcPr>
            <w:tcW w:w="33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现有条件是否符合野生动物保护主管部门核发野生动物保护类许可决定的有关规定；执行依法获批的行政许可规定的种类、数量、场所、范围、方式、有效期等从事野生动物猎捕、人工繁育、出售、购买、利用、进出口、放生等相关活动情况；相关谱系档案、活体标记、专用标识、库存储备与核销、档案登记等制度建立和执行情况；违法、违规或者被处罚记录情况；遵守国家野生动物保护法律、法规、政策的情况等；对主管部门政策管理的建议与意见。</w:t>
            </w:r>
          </w:p>
        </w:tc>
        <w:tc>
          <w:tcPr>
            <w:tcW w:w="217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一般检查事项</w:t>
            </w:r>
          </w:p>
        </w:tc>
        <w:tc>
          <w:tcPr>
            <w:tcW w:w="138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1-12月</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仿宋_GB2312" w:hAnsi="宋体" w:eastAsia="仿宋_GB2312" w:cs="仿宋_GB2312"/>
                <w:i w:val="0"/>
                <w:color w:val="000000"/>
                <w:sz w:val="20"/>
                <w:szCs w:val="20"/>
                <w:u w:val="none"/>
              </w:rPr>
            </w:pPr>
            <w:r>
              <w:rPr>
                <w:rFonts w:hint="eastAsia" w:ascii="仿宋_GB2312" w:hAnsi="宋体" w:eastAsia="仿宋_GB2312" w:cs="仿宋_GB2312"/>
                <w:i w:val="0"/>
                <w:color w:val="000000"/>
                <w:kern w:val="0"/>
                <w:sz w:val="20"/>
                <w:szCs w:val="20"/>
                <w:u w:val="none"/>
                <w:lang w:val="en-US" w:eastAsia="zh-CN" w:bidi="ar"/>
              </w:rPr>
              <w:t>区资源生态局及相关配合部门</w:t>
            </w:r>
          </w:p>
        </w:tc>
      </w:tr>
    </w:tbl>
    <w:p>
      <w:pPr>
        <w:keepNext w:val="0"/>
        <w:keepLines w:val="0"/>
        <w:pageBreakBefore w:val="0"/>
        <w:widowControl/>
        <w:suppressLineNumbers w:val="0"/>
        <w:kinsoku/>
        <w:overflowPunct/>
        <w:topLinePunct w:val="0"/>
        <w:autoSpaceDE/>
        <w:autoSpaceDN/>
        <w:bidi w:val="0"/>
        <w:adjustRightInd w:val="0"/>
        <w:spacing w:before="0" w:beforeAutospacing="0" w:after="0" w:afterAutospacing="0" w:line="560" w:lineRule="exact"/>
        <w:ind w:left="0" w:right="0" w:firstLine="640" w:firstLineChars="200"/>
        <w:jc w:val="center"/>
        <w:textAlignment w:val="auto"/>
        <w:rPr>
          <w:rFonts w:hint="eastAsia" w:ascii="仿宋_GB2312" w:eastAsia="仿宋_GB2312" w:cs="仿宋_GB2312"/>
          <w:color w:val="000000"/>
          <w:kern w:val="0"/>
          <w:sz w:val="32"/>
          <w:szCs w:val="32"/>
          <w:lang w:val="en-US" w:eastAsia="zh-CN" w:bidi="ar"/>
        </w:rPr>
        <w:sectPr>
          <w:footerReference r:id="rId3" w:type="default"/>
          <w:pgSz w:w="16838" w:h="11906" w:orient="landscape"/>
          <w:pgMar w:top="1800" w:right="1440" w:bottom="1800" w:left="1440" w:header="851" w:footer="992" w:gutter="0"/>
          <w:cols w:space="720" w:num="1"/>
          <w:docGrid w:type="lines" w:linePitch="312" w:charSpace="0"/>
        </w:sectPr>
      </w:pPr>
    </w:p>
    <w:p>
      <w:pPr>
        <w:keepNext w:val="0"/>
        <w:keepLines w:val="0"/>
        <w:pageBreakBefore w:val="0"/>
        <w:widowControl/>
        <w:suppressLineNumbers w:val="0"/>
        <w:kinsoku/>
        <w:overflowPunct/>
        <w:topLinePunct w:val="0"/>
        <w:autoSpaceDE/>
        <w:autoSpaceDN/>
        <w:bidi w:val="0"/>
        <w:adjustRightInd w:val="0"/>
        <w:spacing w:before="0" w:beforeAutospacing="0" w:after="0" w:afterAutospacing="0" w:line="560" w:lineRule="exact"/>
        <w:ind w:right="0"/>
        <w:jc w:val="left"/>
        <w:textAlignment w:val="auto"/>
        <w:rPr>
          <w:rFonts w:hint="eastAsia" w:ascii="仿宋_GB2312" w:eastAsia="仿宋_GB2312" w:cs="仿宋_GB2312"/>
          <w:color w:val="000000"/>
          <w:kern w:val="0"/>
          <w:sz w:val="32"/>
          <w:szCs w:val="32"/>
          <w:lang w:val="en-US" w:eastAsia="zh-CN" w:bidi="ar"/>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outside" w:y="1"/>
      <w:pBdr>
        <w:top w:val="none" w:color="auto" w:sz="0" w:space="0"/>
        <w:left w:val="none" w:color="auto" w:sz="0" w:space="0"/>
        <w:bottom w:val="none" w:color="auto" w:sz="0" w:space="0"/>
        <w:right w:val="none" w:color="auto" w:sz="0" w:space="0"/>
      </w:pBdr>
      <w:rPr>
        <w:rFonts w:hint="eastAsia" w:ascii="宋体"/>
        <w:sz w:val="28"/>
        <w:szCs w:val="28"/>
      </w:rPr>
    </w:pPr>
    <w:r>
      <w:rPr>
        <w:rStyle w:val="5"/>
        <w:rFonts w:hint="eastAsia" w:ascii="宋体"/>
        <w:sz w:val="28"/>
        <w:szCs w:val="28"/>
      </w:rPr>
      <w:t xml:space="preserve">— </w:t>
    </w:r>
    <w:r>
      <w:rPr>
        <w:rStyle w:val="5"/>
        <w:rFonts w:hint="eastAsia" w:ascii="宋体"/>
        <w:sz w:val="28"/>
        <w:szCs w:val="28"/>
      </w:rPr>
      <w:fldChar w:fldCharType="begin"/>
    </w:r>
    <w:r>
      <w:rPr>
        <w:rStyle w:val="5"/>
        <w:rFonts w:hint="eastAsia" w:ascii="宋体"/>
        <w:sz w:val="28"/>
        <w:szCs w:val="28"/>
      </w:rPr>
      <w:instrText xml:space="preserve">Page</w:instrText>
    </w:r>
    <w:r>
      <w:rPr>
        <w:rStyle w:val="5"/>
        <w:rFonts w:hint="eastAsia" w:ascii="宋体"/>
        <w:sz w:val="28"/>
        <w:szCs w:val="28"/>
      </w:rPr>
      <w:fldChar w:fldCharType="separate"/>
    </w:r>
    <w:r>
      <w:rPr>
        <w:rStyle w:val="5"/>
        <w:rFonts w:hint="eastAsia" w:ascii="宋体"/>
        <w:sz w:val="28"/>
        <w:szCs w:val="28"/>
      </w:rPr>
      <w:t>1</w:t>
    </w:r>
    <w:r>
      <w:rPr>
        <w:rStyle w:val="5"/>
        <w:rFonts w:hint="eastAsia" w:ascii="宋体"/>
        <w:sz w:val="28"/>
        <w:szCs w:val="28"/>
      </w:rPr>
      <w:fldChar w:fldCharType="end"/>
    </w:r>
    <w:r>
      <w:rPr>
        <w:rStyle w:val="5"/>
        <w:rFonts w:hint="eastAsia" w:ascii="宋体"/>
        <w:sz w:val="28"/>
        <w:szCs w:val="28"/>
      </w:rPr>
      <w:t xml:space="preserve"> —</w:t>
    </w:r>
  </w:p>
  <w:p>
    <w:pPr>
      <w:pStyle w:val="2"/>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9363B4"/>
    <w:rsid w:val="329363B4"/>
    <w:rsid w:val="491A03D0"/>
    <w:rsid w:val="57FFE29C"/>
    <w:rsid w:val="5908690C"/>
    <w:rsid w:val="5F2F6857"/>
    <w:rsid w:val="7B67E350"/>
    <w:rsid w:val="7D379783"/>
    <w:rsid w:val="7F6E846B"/>
    <w:rsid w:val="BD38E230"/>
    <w:rsid w:val="CEAF1B34"/>
    <w:rsid w:val="CF3F7589"/>
    <w:rsid w:val="DCFF39AE"/>
    <w:rsid w:val="DF73F707"/>
    <w:rsid w:val="EBFF696E"/>
    <w:rsid w:val="EDFFF7D0"/>
    <w:rsid w:val="FBEF39E8"/>
    <w:rsid w:val="FEED7C3E"/>
    <w:rsid w:val="FF9A6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7"/>
      </w:tabs>
      <w:snapToGrid w:val="0"/>
      <w:jc w:val="left"/>
    </w:pPr>
    <w:rPr>
      <w:sz w:val="18"/>
    </w:rPr>
  </w:style>
  <w:style w:type="character" w:styleId="5">
    <w:name w:val="page number"/>
    <w:basedOn w:val="4"/>
    <w:qFormat/>
    <w:uiPriority w:val="0"/>
  </w:style>
  <w:style w:type="character" w:customStyle="1" w:styleId="6">
    <w:name w:val="font81"/>
    <w:basedOn w:val="4"/>
    <w:qFormat/>
    <w:uiPriority w:val="0"/>
    <w:rPr>
      <w:rFonts w:hint="eastAsia" w:ascii="仿宋_GB2312" w:eastAsia="仿宋_GB2312" w:cs="仿宋_GB2312"/>
      <w:color w:val="000000"/>
      <w:sz w:val="20"/>
      <w:szCs w:val="20"/>
      <w:u w:val="none"/>
    </w:rPr>
  </w:style>
  <w:style w:type="character" w:customStyle="1" w:styleId="7">
    <w:name w:val="font01"/>
    <w:basedOn w:val="4"/>
    <w:qFormat/>
    <w:uiPriority w:val="0"/>
    <w:rPr>
      <w:rFonts w:hint="eastAsia" w:ascii="仿宋_GB2312" w:eastAsia="仿宋_GB2312" w:cs="仿宋_GB2312"/>
      <w:color w:val="000000"/>
      <w:sz w:val="22"/>
      <w:szCs w:val="22"/>
      <w:u w:val="none"/>
    </w:rPr>
  </w:style>
  <w:style w:type="character" w:customStyle="1" w:styleId="8">
    <w:name w:val="font91"/>
    <w:basedOn w:val="4"/>
    <w:qFormat/>
    <w:uiPriority w:val="0"/>
    <w:rPr>
      <w:rFonts w:hint="eastAsia" w:ascii="仿宋_GB2312" w:eastAsia="仿宋_GB2312" w:cs="仿宋_GB2312"/>
      <w:color w:val="000000"/>
      <w:sz w:val="22"/>
      <w:szCs w:val="22"/>
      <w:u w:val="none"/>
    </w:rPr>
  </w:style>
  <w:style w:type="character" w:customStyle="1" w:styleId="9">
    <w:name w:val="font111"/>
    <w:basedOn w:val="4"/>
    <w:qFormat/>
    <w:uiPriority w:val="0"/>
    <w:rPr>
      <w:rFonts w:hint="eastAsia" w:ascii="仿宋_GB2312" w:eastAsia="仿宋_GB2312" w:cs="仿宋_GB2312"/>
      <w:color w:val="000000"/>
      <w:sz w:val="20"/>
      <w:szCs w:val="20"/>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2022-02-17T10:38:00Z</dcterms:created>
  <dc:creator>阿喵达子</dc:creator>
  <cp:lastModifiedBy>高小十</cp:lastModifiedBy>
  <dcterms:modified xsi:type="dcterms:W3CDTF">2022-03-01T06:45:40Z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EA700E8CAB564D2295CC2AE51507403B</vt:lpwstr>
  </property>
</Properties>
</file>