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pacing w:before="0" w:beforeAutospacing="0" w:after="0" w:afterAutospacing="0" w:line="560" w:lineRule="exact"/>
        <w:ind w:right="0"/>
        <w:jc w:val="both"/>
        <w:textAlignment w:val="auto"/>
        <w:rPr>
          <w:rFonts w:hint="eastAsia" w:ascii="黑体" w:hAnsi="黑体" w:eastAsia="黑体" w:cs="黑体"/>
          <w:b w:val="0"/>
          <w:bCs/>
          <w:i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/>
          <w:i w:val="0"/>
          <w:color w:val="000000"/>
          <w:kern w:val="0"/>
          <w:sz w:val="32"/>
          <w:szCs w:val="32"/>
          <w:u w:val="none"/>
          <w:lang w:val="en-US" w:eastAsia="zh-CN" w:bidi="ar"/>
        </w:rPr>
        <w:t>附件2</w:t>
      </w:r>
    </w:p>
    <w:p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pacing w:before="0" w:beforeAutospacing="0" w:after="0" w:afterAutospacing="0" w:line="56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i w:val="0"/>
          <w:color w:val="000000"/>
          <w:kern w:val="0"/>
          <w:sz w:val="44"/>
          <w:szCs w:val="44"/>
          <w:u w:val="none"/>
          <w:lang w:val="en-US" w:eastAsia="zh-CN" w:bidi="ar"/>
        </w:rPr>
        <w:t>“双随机、一公开”监管工作（半）年统计表</w:t>
      </w:r>
    </w:p>
    <w:tbl>
      <w:tblPr>
        <w:tblStyle w:val="3"/>
        <w:tblW w:w="1420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320"/>
        <w:gridCol w:w="1050"/>
        <w:gridCol w:w="1140"/>
        <w:gridCol w:w="1140"/>
        <w:gridCol w:w="1250"/>
        <w:gridCol w:w="1100"/>
        <w:gridCol w:w="1755"/>
        <w:gridCol w:w="1035"/>
        <w:gridCol w:w="1816"/>
        <w:gridCol w:w="128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填报单位：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48"/>
                <w:szCs w:val="48"/>
                <w:u w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48"/>
                <w:szCs w:val="48"/>
                <w:u w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48"/>
                <w:szCs w:val="48"/>
                <w:u w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48"/>
                <w:szCs w:val="48"/>
                <w:u w:val="none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48"/>
                <w:szCs w:val="48"/>
                <w:u w:val="none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填报时间：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0" w:hRule="atLeast"/>
        </w:trPr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本系统制定抽查事项清单包含的事项数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监管对象库主体数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执法检查人员库人数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本系统单独开展双随机抽查任务数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本系统主动发起联合抽查任务数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本系统参与联合抽查任务数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抽查对象户数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抽查结果公示户数（其中国家企业信用信息公示系统公示户数）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发现问题并依法处理户数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今年开展抽查事项覆盖省级抽查事项情况（具体写明哪些事项有开展）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仿宋_GB2312" w:hAnsi="宋体" w:eastAsia="仿宋_GB2312" w:cs="仿宋_GB2312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联系人：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联系电话：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pacing w:before="0" w:beforeAutospacing="0" w:after="0" w:afterAutospacing="0" w:line="560" w:lineRule="exact"/>
        <w:ind w:right="0"/>
        <w:jc w:val="left"/>
        <w:textAlignment w:val="auto"/>
        <w:rPr>
          <w:rFonts w:hint="eastAsia" w:asci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10AB7"/>
    <w:rsid w:val="2ED1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7"/>
      </w:tabs>
      <w:snapToGrid w:val="0"/>
      <w:jc w:val="left"/>
    </w:pPr>
    <w:rPr>
      <w:sz w:val="18"/>
    </w:rPr>
  </w:style>
  <w:style w:type="character" w:styleId="5">
    <w:name w:val="page numb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2022-03-01T06:41:00Z</dcterms:created>
  <dc:creator>高小十</dc:creator>
  <cp:lastModifiedBy>高小十</cp:lastModifiedBy>
  <dcterms:modified xsi:type="dcterms:W3CDTF">2022-03-01T06:46:57Z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D1C88CA7863149E6B6095ABCF06A0780</vt:lpwstr>
  </property>
</Properties>
</file>