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hd w:val="clear" w:color="auto" w:fill="FFFFFF"/>
        <w:spacing w:before="0" w:beforeAutospacing="0" w:after="0" w:afterAutospacing="0" w:line="360" w:lineRule="auto"/>
        <w:ind w:firstLine="963" w:firstLineChars="300"/>
        <w:jc w:val="both"/>
        <w:rPr>
          <w:rFonts w:hint="eastAsia" w:ascii="黑体" w:eastAsia="黑体" w:cs="Times New Roman"/>
          <w:b/>
          <w:bCs/>
          <w:color w:val="444444"/>
          <w:sz w:val="32"/>
          <w:szCs w:val="32"/>
        </w:rPr>
      </w:pPr>
      <w:bookmarkStart w:id="0" w:name="_Toc92710571"/>
      <w:bookmarkStart w:id="1" w:name="_Toc404018104"/>
      <w:bookmarkStart w:id="2" w:name="_Toc90096441"/>
      <w:bookmarkStart w:id="3" w:name="_Toc89782181"/>
      <w:bookmarkStart w:id="4" w:name="_Toc88297127"/>
      <w:bookmarkStart w:id="5" w:name="_Toc90096685"/>
      <w:bookmarkStart w:id="6" w:name="_Toc92879601"/>
      <w:bookmarkStart w:id="7" w:name="_Toc88379939"/>
      <w:bookmarkStart w:id="8" w:name="_Toc89857990"/>
      <w:bookmarkStart w:id="9" w:name="_Toc90354222"/>
      <w:bookmarkStart w:id="10" w:name="_Toc92703149"/>
      <w:bookmarkStart w:id="11" w:name="_Toc88296783"/>
      <w:bookmarkStart w:id="12" w:name="_Toc90096515"/>
      <w:bookmarkStart w:id="13" w:name="_Toc93292946"/>
      <w:bookmarkStart w:id="14" w:name="_Toc92119829"/>
      <w:bookmarkStart w:id="15" w:name="_Toc88554888"/>
      <w:bookmarkStart w:id="16" w:name="_Toc328466472"/>
      <w:bookmarkStart w:id="17" w:name="_Toc92119681"/>
      <w:bookmarkStart w:id="18" w:name="_Toc89789216"/>
      <w:bookmarkStart w:id="19" w:name="_Toc92879551"/>
      <w:bookmarkStart w:id="20" w:name="_Toc92879267"/>
      <w:bookmarkStart w:id="21" w:name="_Toc90096835"/>
      <w:bookmarkStart w:id="22" w:name="_Toc93292072"/>
      <w:bookmarkStart w:id="23" w:name="_Toc89787772"/>
      <w:bookmarkStart w:id="24" w:name="_Toc88554857"/>
      <w:bookmarkStart w:id="25" w:name="_Toc88555060"/>
      <w:bookmarkStart w:id="26" w:name="_Toc92878539"/>
      <w:bookmarkStart w:id="27" w:name="_Toc90096597"/>
      <w:bookmarkStart w:id="28" w:name="_Toc92703300"/>
      <w:bookmarkStart w:id="29" w:name="_Toc318206690"/>
      <w:bookmarkStart w:id="30" w:name="_Toc328475791"/>
      <w:bookmarkStart w:id="31" w:name="_Toc92702987"/>
      <w:bookmarkStart w:id="32" w:name="_Toc89780589"/>
      <w:bookmarkStart w:id="33" w:name="_Toc93291764"/>
      <w:r>
        <w:rPr>
          <w:rFonts w:hint="eastAsia" w:ascii="黑体" w:eastAsia="黑体" w:cs="Times New Roman"/>
          <w:b/>
          <w:bCs/>
          <w:color w:val="444444"/>
          <w:sz w:val="32"/>
          <w:szCs w:val="32"/>
        </w:rPr>
        <w:t>《平潭综合实验区北部区域总体发展概念规划》</w:t>
      </w:r>
    </w:p>
    <w:p>
      <w:pPr>
        <w:pStyle w:val="5"/>
        <w:shd w:val="clear" w:color="auto" w:fill="FFFFFF"/>
        <w:spacing w:before="0" w:beforeAutospacing="0" w:after="0" w:afterAutospacing="0" w:line="360" w:lineRule="auto"/>
        <w:jc w:val="center"/>
        <w:rPr>
          <w:rFonts w:ascii="黑体" w:eastAsia="黑体" w:cs="Times New Roman"/>
          <w:b/>
          <w:bCs/>
          <w:color w:val="444444"/>
          <w:sz w:val="32"/>
          <w:szCs w:val="32"/>
        </w:rPr>
      </w:pPr>
      <w:r>
        <w:rPr>
          <w:rFonts w:hint="eastAsia" w:ascii="黑体" w:eastAsia="黑体" w:cs="Times New Roman"/>
          <w:b/>
          <w:bCs/>
          <w:color w:val="444444"/>
          <w:sz w:val="32"/>
          <w:szCs w:val="32"/>
        </w:rPr>
        <w:t>规划公示</w:t>
      </w:r>
    </w:p>
    <w:p>
      <w:pPr>
        <w:adjustRightInd w:val="0"/>
        <w:snapToGrid w:val="0"/>
        <w:spacing w:line="360" w:lineRule="auto"/>
        <w:ind w:firstLine="510"/>
        <w:outlineLvl w:val="0"/>
        <w:rPr>
          <w:rFonts w:ascii="宋体" w:hAnsi="宋体" w:cs="宋体"/>
          <w:b/>
          <w:sz w:val="24"/>
          <w:szCs w:val="24"/>
        </w:rPr>
      </w:pPr>
    </w:p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一、编制背景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福平高速通车，北部廊道建成，平潭北部区域成为新的门户及旅游目的地。北部廊道周边村庄连片、资源丰富，但尚未充分挖掘开发，村庄规划各自为政，缺少统筹考虑。在乡村振兴背景下，借着平潭北部生态廊道建成契机，希望通过本次规划，对北部区域系统梳理、整体统筹规划，带动成片村庄振兴；明确各村旅游发展方向及总体定位，打造环北部廊道旅游片区形象。</w:t>
      </w:r>
    </w:p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二、规划范围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平潭综合实验区北部区域42个行政村以及邻近的海域，规划范围总面积约47.48平方公里</w:t>
      </w:r>
      <w:r>
        <w:rPr>
          <w:rFonts w:ascii="宋体" w:hAnsi="宋体"/>
          <w:sz w:val="24"/>
          <w:szCs w:val="28"/>
        </w:rPr>
        <w:t>。</w:t>
      </w:r>
    </w:p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三、规划目的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本次规划目的分三个层次梳理，重点侧重宏观、中观层面。宏观层面：确定旅游总体规划定位，打造总体形象IP；中观层面：主题策划，分组团整合村庄发展方向；微观层面：项目策划，明确各村重点项目。</w:t>
      </w:r>
    </w:p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四、规划思路概述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（一）宏观层面：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1、</w:t>
      </w:r>
      <w:r>
        <w:rPr>
          <w:rFonts w:ascii="宋体" w:hAnsi="宋体"/>
          <w:sz w:val="24"/>
          <w:szCs w:val="28"/>
        </w:rPr>
        <w:t>研究范围</w:t>
      </w:r>
      <w:r>
        <w:rPr>
          <w:rFonts w:hint="eastAsia" w:ascii="宋体" w:hAnsi="宋体"/>
          <w:sz w:val="24"/>
          <w:szCs w:val="28"/>
        </w:rPr>
        <w:t>：平潭全岛及岚北地区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2、研究内容：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（1）梳理岚北地区的旅游发展价值；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（2）研判全岛旅游发展态势；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（3）明晰北部地区对于全岛旅游发展的作用和地位。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（二）中观层面：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1、研究范围：岚北地区及各村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2、研究内容：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（1）分析北部区域总体资源特点；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（2）梳理各村的资源特点；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（3）明晰北部地区村庄旅游发展的总体结构；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（4）按照分区——组团结构整合村庄发展方向。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（三）微观层面：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1、研究范围：各村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2、研究内容：</w:t>
      </w:r>
    </w:p>
    <w:p>
      <w:pPr>
        <w:spacing w:line="360" w:lineRule="auto"/>
        <w:ind w:firstLine="420" w:firstLineChars="200"/>
        <w:rPr>
          <w:szCs w:val="28"/>
        </w:rPr>
      </w:pPr>
      <w:r>
        <w:rPr>
          <w:rFonts w:hint="eastAsia"/>
          <w:szCs w:val="28"/>
        </w:rPr>
        <w:t>（1）明确各村在组团中的角色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（2）对接各个村庄的管控要素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（3）策划各村重点项目，落实“一村一品”</w:t>
      </w:r>
    </w:p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五、规划内容</w:t>
      </w:r>
    </w:p>
    <w:p>
      <w:pPr>
        <w:spacing w:line="360" w:lineRule="auto"/>
        <w:ind w:firstLine="481" w:firstLineChars="200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（一）规划定位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按照“一岛两窗三区”的总体格局，坚持国际旅游岛的总体定位，坚持闽台合作、坚持对外开放，打造平潭国际旅游岛的北部生态门户、展示岚岛文化的重要窗口以及平潭乡村旅游的地标。</w:t>
      </w:r>
    </w:p>
    <w:p>
      <w:pPr>
        <w:spacing w:line="360" w:lineRule="auto"/>
        <w:ind w:firstLine="481" w:firstLineChars="200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（二）规划愿景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岚岛·情·源：在这里遇见岚岛的“诗情画意”，聆听岚岛的“前世今生”</w:t>
      </w:r>
    </w:p>
    <w:p>
      <w:pPr>
        <w:spacing w:line="360" w:lineRule="auto"/>
        <w:ind w:firstLine="481" w:firstLineChars="200"/>
        <w:rPr>
          <w:rFonts w:ascii="宋体" w:hAns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（三）规划结构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按照“四核引领、四片联动”的总体规划结构，打造“石、港、山、园”四大龙头节点，引领“诗、颂、画、卷”四大分区。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根据各个分区特色策划不同的主题组团</w:t>
      </w:r>
      <w:r>
        <w:rPr>
          <w:rFonts w:hint="eastAsia" w:ascii="宋体" w:hAnsi="宋体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打造</w:t>
      </w:r>
      <w:r>
        <w:rPr>
          <w:rFonts w:hint="eastAsia" w:ascii="宋体" w:hAnsi="宋体"/>
          <w:sz w:val="24"/>
          <w:szCs w:val="28"/>
        </w:rPr>
        <w:t>1</w:t>
      </w:r>
      <w:r>
        <w:rPr>
          <w:rFonts w:ascii="宋体" w:hAnsi="宋体"/>
          <w:sz w:val="24"/>
          <w:szCs w:val="28"/>
        </w:rPr>
        <w:t>1个特色组团</w:t>
      </w:r>
      <w:r>
        <w:rPr>
          <w:rFonts w:hint="eastAsia" w:ascii="宋体" w:hAnsi="宋体"/>
          <w:sz w:val="24"/>
          <w:szCs w:val="28"/>
        </w:rPr>
        <w:t>：</w:t>
      </w:r>
    </w:p>
    <w:p>
      <w:pPr>
        <w:pStyle w:val="12"/>
        <w:numPr>
          <w:numId w:val="0"/>
        </w:numPr>
        <w:spacing w:line="360" w:lineRule="auto"/>
        <w:ind w:firstLine="480" w:firstLineChars="200"/>
        <w:rPr>
          <w:rFonts w:ascii="宋体" w:hAnsi="宋体"/>
          <w:b/>
          <w:sz w:val="24"/>
          <w:szCs w:val="28"/>
        </w:rPr>
      </w:pPr>
      <w:r>
        <w:rPr>
          <w:rFonts w:hint="eastAsia" w:ascii="汉仪书宋二S" w:hAnsi="汉仪书宋二S" w:eastAsia="汉仪书宋二S" w:cs="汉仪书宋二S"/>
          <w:sz w:val="24"/>
          <w:szCs w:val="28"/>
        </w:rPr>
        <w:t>①</w:t>
      </w:r>
      <w:r>
        <w:rPr>
          <w:rFonts w:hint="eastAsia" w:ascii="宋体" w:hAnsi="宋体"/>
          <w:sz w:val="24"/>
          <w:szCs w:val="28"/>
        </w:rPr>
        <w:t>“双帆夕照”</w:t>
      </w:r>
      <w:r>
        <w:rPr>
          <w:rFonts w:hint="eastAsia" w:ascii="汉仪书宋二S" w:hAnsi="汉仪书宋二S" w:eastAsia="汉仪书宋二S" w:cs="汉仪书宋二S"/>
          <w:sz w:val="24"/>
          <w:szCs w:val="28"/>
        </w:rPr>
        <w:t>②</w:t>
      </w:r>
      <w:r>
        <w:rPr>
          <w:rFonts w:hint="eastAsia" w:ascii="宋体" w:hAnsi="宋体"/>
          <w:sz w:val="24"/>
          <w:szCs w:val="28"/>
        </w:rPr>
        <w:t>“三桥映月</w:t>
      </w:r>
      <w:r>
        <w:rPr>
          <w:rFonts w:ascii="宋体" w:hAnsi="宋体"/>
          <w:sz w:val="24"/>
          <w:szCs w:val="28"/>
        </w:rPr>
        <w:t>”</w:t>
      </w:r>
      <w:r>
        <w:rPr>
          <w:rFonts w:hint="eastAsia" w:ascii="宋体" w:hAnsi="宋体"/>
          <w:sz w:val="24"/>
          <w:szCs w:val="28"/>
        </w:rPr>
        <w:t>③“红色记忆”④“海丝情缘”⑤“海洋极限”⑥“渔舟唱晚”⑦“海角拾美”⑧“沧海遗珠”⑨“桑田阡陌”⑩“古镇新颜</w:t>
      </w:r>
      <w:r>
        <w:rPr>
          <w:rFonts w:ascii="宋体" w:hAnsi="宋体"/>
          <w:sz w:val="24"/>
          <w:szCs w:val="28"/>
        </w:rPr>
        <w:t xml:space="preserve"> ” </w:t>
      </w:r>
      <w:r>
        <w:rPr>
          <w:rFonts w:ascii="Cambria Math" w:hAnsi="Cambria Math" w:cs="Cambria Math"/>
          <w:sz w:val="24"/>
          <w:szCs w:val="28"/>
        </w:rPr>
        <w:t>⑪</w:t>
      </w:r>
      <w:r>
        <w:rPr>
          <w:rFonts w:hint="eastAsia" w:ascii="宋体" w:hAnsi="宋体" w:cs="宋体"/>
          <w:sz w:val="24"/>
          <w:szCs w:val="28"/>
        </w:rPr>
        <w:t>“田园新村</w:t>
      </w:r>
      <w:r>
        <w:rPr>
          <w:rFonts w:hint="eastAsia" w:ascii="宋体" w:hAnsi="宋体"/>
          <w:sz w:val="24"/>
          <w:szCs w:val="28"/>
        </w:rPr>
        <w:t>”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>
      <w:pPr>
        <w:pStyle w:val="5"/>
        <w:shd w:val="clear" w:color="auto" w:fill="FFFFFF"/>
        <w:spacing w:before="156" w:beforeAutospacing="0" w:after="156" w:afterAutospacing="0" w:line="360" w:lineRule="auto"/>
        <w:ind w:left="420" w:hanging="420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六、规划图纸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8"/>
          <w:lang w:eastAsia="zh-CN"/>
        </w:rPr>
      </w:pPr>
      <w:r>
        <w:rPr>
          <w:rFonts w:hint="eastAsia" w:ascii="宋体" w:hAnsi="宋体"/>
          <w:sz w:val="24"/>
          <w:szCs w:val="28"/>
        </w:rPr>
        <w:t>主要规划图纸有：</w:t>
      </w:r>
      <w:r>
        <w:rPr>
          <w:rFonts w:hint="eastAsia" w:ascii="宋体" w:hAnsi="宋体"/>
          <w:sz w:val="24"/>
          <w:szCs w:val="28"/>
          <w:lang w:val="en-US" w:eastAsia="zh-CN"/>
        </w:rPr>
        <w:t>01.规划定位、02.</w:t>
      </w:r>
      <w:r>
        <w:rPr>
          <w:rFonts w:hint="eastAsia" w:ascii="宋体" w:hAnsi="宋体"/>
          <w:sz w:val="24"/>
          <w:szCs w:val="28"/>
        </w:rPr>
        <w:t>规划</w:t>
      </w:r>
      <w:r>
        <w:rPr>
          <w:rFonts w:ascii="宋体" w:hAnsi="宋体"/>
          <w:sz w:val="24"/>
          <w:szCs w:val="28"/>
        </w:rPr>
        <w:t>愿景</w:t>
      </w:r>
      <w:r>
        <w:rPr>
          <w:rFonts w:hint="eastAsia" w:ascii="宋体" w:hAnsi="宋体"/>
          <w:sz w:val="24"/>
          <w:szCs w:val="28"/>
          <w:lang w:eastAsia="zh-CN"/>
        </w:rPr>
        <w:t>、</w:t>
      </w:r>
      <w:r>
        <w:rPr>
          <w:rFonts w:hint="eastAsia" w:ascii="宋体" w:hAnsi="宋体"/>
          <w:sz w:val="24"/>
          <w:szCs w:val="28"/>
          <w:lang w:val="en-US" w:eastAsia="zh-CN"/>
        </w:rPr>
        <w:t>03.</w:t>
      </w:r>
      <w:r>
        <w:rPr>
          <w:rFonts w:ascii="宋体" w:hAnsi="宋体"/>
          <w:sz w:val="24"/>
          <w:szCs w:val="28"/>
        </w:rPr>
        <w:t>规划结构</w:t>
      </w:r>
      <w:r>
        <w:rPr>
          <w:rFonts w:hint="eastAsia" w:ascii="宋体" w:hAnsi="宋体"/>
          <w:sz w:val="24"/>
          <w:szCs w:val="28"/>
          <w:lang w:eastAsia="zh-CN"/>
        </w:rPr>
        <w:t>、</w:t>
      </w:r>
      <w:r>
        <w:rPr>
          <w:rFonts w:hint="eastAsia" w:ascii="宋体" w:hAnsi="宋体"/>
          <w:sz w:val="24"/>
          <w:szCs w:val="28"/>
          <w:lang w:val="en-US" w:eastAsia="zh-CN"/>
        </w:rPr>
        <w:t>04.</w:t>
      </w:r>
      <w:r>
        <w:rPr>
          <w:rFonts w:hint="eastAsia" w:ascii="宋体" w:hAnsi="宋体"/>
          <w:sz w:val="24"/>
          <w:szCs w:val="28"/>
        </w:rPr>
        <w:t>总平面图</w:t>
      </w:r>
      <w:r>
        <w:rPr>
          <w:rFonts w:hint="eastAsia" w:ascii="宋体" w:hAnsi="宋体"/>
          <w:sz w:val="24"/>
          <w:szCs w:val="28"/>
          <w:lang w:eastAsia="zh-CN"/>
        </w:rPr>
        <w:t>。</w:t>
      </w:r>
      <w:bookmarkStart w:id="34" w:name="_GoBack"/>
      <w:bookmarkEnd w:id="34"/>
    </w:p>
    <w:sectPr>
      <w:headerReference r:id="rId3" w:type="default"/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书宋二S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971"/>
    <w:rsid w:val="00010D48"/>
    <w:rsid w:val="00017B7E"/>
    <w:rsid w:val="00055D98"/>
    <w:rsid w:val="000E270A"/>
    <w:rsid w:val="00144BB8"/>
    <w:rsid w:val="001669A1"/>
    <w:rsid w:val="001B0354"/>
    <w:rsid w:val="00217A6F"/>
    <w:rsid w:val="00243491"/>
    <w:rsid w:val="002603C2"/>
    <w:rsid w:val="00261DF3"/>
    <w:rsid w:val="002C6E81"/>
    <w:rsid w:val="00361D8D"/>
    <w:rsid w:val="0041008E"/>
    <w:rsid w:val="00420A1D"/>
    <w:rsid w:val="00500D03"/>
    <w:rsid w:val="0052332E"/>
    <w:rsid w:val="00551AF4"/>
    <w:rsid w:val="0063407C"/>
    <w:rsid w:val="006734BC"/>
    <w:rsid w:val="00686D7C"/>
    <w:rsid w:val="006D6D7A"/>
    <w:rsid w:val="00702791"/>
    <w:rsid w:val="007265A7"/>
    <w:rsid w:val="007832F7"/>
    <w:rsid w:val="00792698"/>
    <w:rsid w:val="00804CB1"/>
    <w:rsid w:val="008E033F"/>
    <w:rsid w:val="00926306"/>
    <w:rsid w:val="00A92CD7"/>
    <w:rsid w:val="00AD2E1A"/>
    <w:rsid w:val="00BF3940"/>
    <w:rsid w:val="00C07971"/>
    <w:rsid w:val="00C22602"/>
    <w:rsid w:val="00C95051"/>
    <w:rsid w:val="00D65351"/>
    <w:rsid w:val="00D677CA"/>
    <w:rsid w:val="00DD1CDC"/>
    <w:rsid w:val="00E10811"/>
    <w:rsid w:val="00E97442"/>
    <w:rsid w:val="00FE6B54"/>
    <w:rsid w:val="00FF001F"/>
    <w:rsid w:val="1DEA0C33"/>
    <w:rsid w:val="7FFFCD2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11"/>
    <w:qFormat/>
    <w:uiPriority w:val="0"/>
    <w:pPr>
      <w:widowControl/>
      <w:spacing w:line="360" w:lineRule="auto"/>
      <w:ind w:firstLine="400"/>
    </w:pPr>
    <w:rPr>
      <w:kern w:val="0"/>
      <w:sz w:val="24"/>
      <w:szCs w:val="24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paragraph" w:customStyle="1" w:styleId="10">
    <w:name w:val="样式 样式 宋体 四号 行距: 固定值 20 磅 + 首行缩进:  2 字符"/>
    <w:basedOn w:val="1"/>
    <w:qFormat/>
    <w:uiPriority w:val="0"/>
    <w:pPr>
      <w:spacing w:line="360" w:lineRule="auto"/>
      <w:ind w:firstLine="200" w:firstLineChars="200"/>
    </w:pPr>
    <w:rPr>
      <w:rFonts w:cs="宋体"/>
      <w:sz w:val="28"/>
    </w:rPr>
  </w:style>
  <w:style w:type="character" w:customStyle="1" w:styleId="11">
    <w:name w:val="正文文本缩进 2 Char"/>
    <w:basedOn w:val="7"/>
    <w:link w:val="2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</Words>
  <Characters>841</Characters>
  <Lines>7</Lines>
  <Paragraphs>1</Paragraphs>
  <TotalTime>347</TotalTime>
  <ScaleCrop>false</ScaleCrop>
  <LinksUpToDate>false</LinksUpToDate>
  <CharactersWithSpaces>987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2021-08-12T10:37:00Z</dcterms:created>
  <dc:creator>Administrator;lzf</dc:creator>
  <cp:lastModifiedBy>pingtan</cp:lastModifiedBy>
  <dcterms:modified xsi:type="dcterms:W3CDTF">2021-08-12T17:24:27Z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