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20" w:lineRule="exact"/>
        <w:rPr>
          <w:rFonts w:hint="eastAsia" w:ascii="黑体" w:hAnsi="黑体" w:eastAsia="黑体" w:cs="黑体"/>
          <w:sz w:val="32"/>
          <w:szCs w:val="32"/>
        </w:rPr>
      </w:pPr>
      <w:r>
        <w:rPr>
          <w:rFonts w:hint="eastAsia" w:ascii="黑体" w:hAnsi="黑体" w:eastAsia="黑体" w:cs="黑体"/>
          <w:sz w:val="32"/>
          <w:szCs w:val="32"/>
        </w:rPr>
        <w:t>附件</w:t>
      </w:r>
      <w:bookmarkStart w:id="0" w:name="_GoBack"/>
      <w:bookmarkEnd w:id="0"/>
    </w:p>
    <w:p>
      <w:pPr>
        <w:wordWrap w:val="0"/>
        <w:spacing w:line="520" w:lineRule="exact"/>
        <w:jc w:val="center"/>
        <w:rPr>
          <w:rFonts w:hint="eastAsia" w:ascii="方正小标宋简体" w:hAnsi="方正小标宋简体" w:eastAsia="方正小标宋简体" w:cs="方正小标宋简体"/>
          <w:sz w:val="44"/>
          <w:szCs w:val="44"/>
        </w:rPr>
      </w:pPr>
    </w:p>
    <w:p>
      <w:pPr>
        <w:wordWrap w:val="0"/>
        <w:spacing w:line="520" w:lineRule="exact"/>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平潭综合实验区景区停车场</w:t>
      </w:r>
    </w:p>
    <w:p>
      <w:pPr>
        <w:wordWrap w:val="0"/>
        <w:spacing w:line="520" w:lineRule="exact"/>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收费标准定价方案</w:t>
      </w:r>
    </w:p>
    <w:p>
      <w:pPr>
        <w:wordWrap w:val="0"/>
        <w:spacing w:line="520" w:lineRule="exact"/>
        <w:jc w:val="center"/>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（征求意见稿）</w:t>
      </w:r>
    </w:p>
    <w:p>
      <w:pPr>
        <w:wordWrap w:val="0"/>
        <w:spacing w:line="520" w:lineRule="exact"/>
        <w:rPr>
          <w:rFonts w:hint="eastAsia" w:ascii="仿宋_GB2312" w:hAnsi="仿宋_GB2312" w:eastAsia="仿宋_GB2312" w:cs="仿宋_GB2312"/>
          <w:sz w:val="32"/>
          <w:szCs w:val="32"/>
        </w:rPr>
      </w:pPr>
    </w:p>
    <w:p>
      <w:pPr>
        <w:tabs>
          <w:tab w:val="left" w:pos="3094"/>
        </w:tabs>
        <w:autoSpaceDN w:val="0"/>
        <w:spacing w:line="560" w:lineRule="exact"/>
        <w:ind w:firstLine="640" w:firstLineChars="200"/>
        <w:rPr>
          <w:rFonts w:ascii="仿宋_GB2312" w:eastAsia="仿宋_GB2312"/>
          <w:sz w:val="32"/>
          <w:szCs w:val="32"/>
        </w:rPr>
      </w:pPr>
      <w:r>
        <w:rPr>
          <w:rFonts w:hint="eastAsia" w:ascii="仿宋_GB2312" w:eastAsia="仿宋_GB2312"/>
          <w:sz w:val="32"/>
          <w:szCs w:val="32"/>
        </w:rPr>
        <w:t>根据我区景区发展现状，建议对全区景区停车收费统一收费标准，不同车型、淡旺季差别化收费。具体定价方案详见下表：</w:t>
      </w:r>
    </w:p>
    <w:p>
      <w:pPr>
        <w:tabs>
          <w:tab w:val="left" w:pos="3094"/>
        </w:tabs>
        <w:autoSpaceDN w:val="0"/>
        <w:spacing w:line="560" w:lineRule="exact"/>
        <w:jc w:val="center"/>
        <w:rPr>
          <w:rFonts w:ascii="仿宋_GB2312" w:eastAsia="仿宋_GB2312"/>
          <w:sz w:val="32"/>
          <w:szCs w:val="32"/>
        </w:rPr>
      </w:pPr>
      <w:r>
        <w:rPr>
          <w:rFonts w:hint="eastAsia" w:ascii="仿宋_GB2312" w:eastAsia="仿宋_GB2312"/>
          <w:sz w:val="32"/>
          <w:szCs w:val="32"/>
        </w:rPr>
        <w:t>景区停车场收费标准拟定的调整方案</w:t>
      </w:r>
    </w:p>
    <w:tbl>
      <w:tblPr>
        <w:tblStyle w:val="3"/>
        <w:tblpPr w:leftFromText="180" w:rightFromText="180" w:vertAnchor="text" w:horzAnchor="page" w:tblpX="1699" w:tblpY="159"/>
        <w:tblOverlap w:val="never"/>
        <w:tblW w:w="9036"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022"/>
        <w:gridCol w:w="800"/>
        <w:gridCol w:w="801"/>
        <w:gridCol w:w="801"/>
        <w:gridCol w:w="802"/>
        <w:gridCol w:w="802"/>
        <w:gridCol w:w="801"/>
        <w:gridCol w:w="802"/>
        <w:gridCol w:w="801"/>
        <w:gridCol w:w="802"/>
        <w:gridCol w:w="802"/>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420" w:hRule="atLeast"/>
        </w:trPr>
        <w:tc>
          <w:tcPr>
            <w:tcW w:w="1022" w:type="dxa"/>
            <w:vMerge w:val="restart"/>
            <w:tcBorders>
              <w:top w:val="single" w:color="auto" w:sz="4" w:space="0"/>
              <w:left w:val="single" w:color="auto" w:sz="4" w:space="0"/>
              <w:bottom w:val="single" w:color="auto" w:sz="4" w:space="0"/>
              <w:right w:val="single" w:color="auto" w:sz="4" w:space="0"/>
              <w:tl2br w:val="single" w:color="auto" w:sz="4" w:space="0"/>
            </w:tcBorders>
            <w:vAlign w:val="top"/>
          </w:tcPr>
          <w:p>
            <w:pPr>
              <w:autoSpaceDN w:val="0"/>
              <w:rPr>
                <w:rFonts w:hint="eastAsia"/>
                <w:szCs w:val="21"/>
              </w:rPr>
            </w:pPr>
          </w:p>
          <w:p>
            <w:pPr>
              <w:autoSpaceDN w:val="0"/>
              <w:ind w:firstLine="210" w:firstLineChars="100"/>
              <w:rPr>
                <w:rFonts w:hint="eastAsia"/>
                <w:szCs w:val="21"/>
              </w:rPr>
            </w:pPr>
            <w:r>
              <w:rPr>
                <w:rFonts w:hint="eastAsia"/>
                <w:szCs w:val="21"/>
              </w:rPr>
              <w:t>时</w:t>
            </w:r>
          </w:p>
          <w:p>
            <w:pPr>
              <w:autoSpaceDN w:val="0"/>
              <w:rPr>
                <w:rFonts w:hint="eastAsia"/>
                <w:szCs w:val="21"/>
              </w:rPr>
            </w:pPr>
          </w:p>
          <w:p>
            <w:pPr>
              <w:autoSpaceDN w:val="0"/>
              <w:rPr>
                <w:rFonts w:hint="eastAsia"/>
                <w:szCs w:val="21"/>
              </w:rPr>
            </w:pPr>
            <w:r>
              <w:rPr>
                <w:rFonts w:hint="eastAsia"/>
                <w:szCs w:val="21"/>
              </w:rPr>
              <w:t>车</w:t>
            </w:r>
          </w:p>
          <w:p>
            <w:pPr>
              <w:autoSpaceDN w:val="0"/>
              <w:ind w:firstLine="630" w:firstLineChars="300"/>
              <w:rPr>
                <w:rFonts w:hint="eastAsia"/>
                <w:szCs w:val="21"/>
              </w:rPr>
            </w:pPr>
            <w:r>
              <w:rPr>
                <w:rFonts w:hint="eastAsia"/>
                <w:szCs w:val="21"/>
              </w:rPr>
              <w:t>间</w:t>
            </w:r>
          </w:p>
          <w:p>
            <w:pPr>
              <w:autoSpaceDN w:val="0"/>
              <w:ind w:firstLine="210" w:firstLineChars="100"/>
              <w:rPr>
                <w:rFonts w:hint="eastAsia"/>
                <w:szCs w:val="21"/>
              </w:rPr>
            </w:pPr>
            <w:r>
              <w:rPr>
                <w:rFonts w:hint="eastAsia"/>
                <w:szCs w:val="21"/>
              </w:rPr>
              <w:t>型</w:t>
            </w:r>
          </w:p>
          <w:p>
            <w:pPr>
              <w:autoSpaceDN w:val="0"/>
              <w:rPr>
                <w:szCs w:val="21"/>
              </w:rPr>
            </w:pPr>
          </w:p>
        </w:tc>
        <w:tc>
          <w:tcPr>
            <w:tcW w:w="4006" w:type="dxa"/>
            <w:gridSpan w:val="5"/>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hint="eastAsia" w:ascii="仿宋_GB2312" w:eastAsia="仿宋_GB2312"/>
                <w:sz w:val="24"/>
              </w:rPr>
            </w:pPr>
            <w:r>
              <w:rPr>
                <w:rFonts w:hint="eastAsia" w:ascii="仿宋_GB2312" w:eastAsia="仿宋_GB2312"/>
                <w:sz w:val="24"/>
              </w:rPr>
              <w:t>旺  季（5-10月份）</w:t>
            </w:r>
          </w:p>
        </w:tc>
        <w:tc>
          <w:tcPr>
            <w:tcW w:w="4008" w:type="dxa"/>
            <w:gridSpan w:val="5"/>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hint="eastAsia" w:ascii="仿宋_GB2312" w:eastAsia="仿宋_GB2312"/>
                <w:sz w:val="24"/>
              </w:rPr>
            </w:pPr>
            <w:r>
              <w:rPr>
                <w:rFonts w:hint="eastAsia" w:ascii="仿宋_GB2312" w:eastAsia="仿宋_GB2312"/>
                <w:sz w:val="24"/>
              </w:rPr>
              <w:t>淡  季（1-4，11-12月份）</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414" w:hRule="atLeast"/>
        </w:trPr>
        <w:tc>
          <w:tcPr>
            <w:tcW w:w="1022" w:type="dxa"/>
            <w:vMerge w:val="continue"/>
            <w:tcBorders>
              <w:top w:val="single" w:color="auto" w:sz="4" w:space="0"/>
              <w:left w:val="single" w:color="auto" w:sz="4" w:space="0"/>
              <w:bottom w:val="single" w:color="auto" w:sz="4" w:space="0"/>
              <w:right w:val="single" w:color="auto" w:sz="4" w:space="0"/>
              <w:tl2br w:val="single" w:color="auto" w:sz="4" w:space="0"/>
            </w:tcBorders>
            <w:vAlign w:val="center"/>
          </w:tcPr>
          <w:p>
            <w:pPr>
              <w:widowControl/>
              <w:jc w:val="left"/>
              <w:rPr>
                <w:szCs w:val="21"/>
              </w:rPr>
            </w:pPr>
          </w:p>
        </w:tc>
        <w:tc>
          <w:tcPr>
            <w:tcW w:w="1601" w:type="dxa"/>
            <w:gridSpan w:val="2"/>
            <w:tcBorders>
              <w:top w:val="single" w:color="auto" w:sz="4" w:space="0"/>
              <w:left w:val="single" w:color="auto" w:sz="4" w:space="0"/>
              <w:bottom w:val="single" w:color="auto" w:sz="4" w:space="0"/>
              <w:right w:val="single" w:color="auto" w:sz="4" w:space="0"/>
            </w:tcBorders>
            <w:vAlign w:val="center"/>
          </w:tcPr>
          <w:p>
            <w:pPr>
              <w:autoSpaceDN w:val="0"/>
              <w:spacing w:line="240" w:lineRule="exact"/>
              <w:jc w:val="center"/>
              <w:rPr>
                <w:rFonts w:ascii="仿宋_GB2312" w:eastAsia="仿宋_GB2312"/>
                <w:sz w:val="24"/>
              </w:rPr>
            </w:pPr>
            <w:r>
              <w:rPr>
                <w:rFonts w:hint="eastAsia" w:ascii="仿宋_GB2312" w:eastAsia="仿宋_GB2312"/>
                <w:sz w:val="24"/>
              </w:rPr>
              <w:t>白  天</w:t>
            </w:r>
          </w:p>
        </w:tc>
        <w:tc>
          <w:tcPr>
            <w:tcW w:w="1603" w:type="dxa"/>
            <w:gridSpan w:val="2"/>
            <w:tcBorders>
              <w:top w:val="single" w:color="auto" w:sz="4" w:space="0"/>
              <w:left w:val="single" w:color="auto" w:sz="4" w:space="0"/>
              <w:bottom w:val="single" w:color="auto" w:sz="4" w:space="0"/>
              <w:right w:val="single" w:color="auto" w:sz="4" w:space="0"/>
            </w:tcBorders>
            <w:vAlign w:val="center"/>
          </w:tcPr>
          <w:p>
            <w:pPr>
              <w:autoSpaceDN w:val="0"/>
              <w:spacing w:line="240" w:lineRule="exact"/>
              <w:jc w:val="center"/>
              <w:rPr>
                <w:rFonts w:ascii="仿宋_GB2312" w:eastAsia="仿宋_GB2312"/>
                <w:sz w:val="24"/>
              </w:rPr>
            </w:pPr>
            <w:r>
              <w:rPr>
                <w:rFonts w:hint="eastAsia" w:ascii="仿宋_GB2312" w:eastAsia="仿宋_GB2312"/>
                <w:sz w:val="24"/>
              </w:rPr>
              <w:t>夜  间</w:t>
            </w:r>
          </w:p>
        </w:tc>
        <w:tc>
          <w:tcPr>
            <w:tcW w:w="802" w:type="dxa"/>
            <w:vMerge w:val="restart"/>
            <w:tcBorders>
              <w:top w:val="single" w:color="auto" w:sz="4" w:space="0"/>
              <w:left w:val="single" w:color="auto" w:sz="4" w:space="0"/>
              <w:bottom w:val="single" w:color="auto" w:sz="4" w:space="0"/>
              <w:right w:val="single" w:color="auto" w:sz="4" w:space="0"/>
            </w:tcBorders>
            <w:vAlign w:val="center"/>
          </w:tcPr>
          <w:p>
            <w:pPr>
              <w:autoSpaceDN w:val="0"/>
              <w:spacing w:line="240" w:lineRule="exact"/>
              <w:jc w:val="center"/>
              <w:rPr>
                <w:rFonts w:hint="eastAsia" w:ascii="仿宋_GB2312" w:eastAsia="仿宋_GB2312"/>
                <w:sz w:val="24"/>
              </w:rPr>
            </w:pPr>
            <w:r>
              <w:rPr>
                <w:rFonts w:hint="eastAsia" w:ascii="仿宋_GB2312" w:eastAsia="仿宋_GB2312"/>
                <w:sz w:val="24"/>
              </w:rPr>
              <w:t>24小时封顶</w:t>
            </w:r>
          </w:p>
        </w:tc>
        <w:tc>
          <w:tcPr>
            <w:tcW w:w="1603" w:type="dxa"/>
            <w:gridSpan w:val="2"/>
            <w:tcBorders>
              <w:top w:val="single" w:color="auto" w:sz="4" w:space="0"/>
              <w:left w:val="single" w:color="auto" w:sz="4" w:space="0"/>
              <w:bottom w:val="single" w:color="auto" w:sz="4" w:space="0"/>
              <w:right w:val="single" w:color="auto" w:sz="4" w:space="0"/>
            </w:tcBorders>
            <w:vAlign w:val="center"/>
          </w:tcPr>
          <w:p>
            <w:pPr>
              <w:autoSpaceDN w:val="0"/>
              <w:spacing w:line="240" w:lineRule="exact"/>
              <w:jc w:val="center"/>
              <w:rPr>
                <w:rFonts w:hint="eastAsia" w:ascii="仿宋_GB2312" w:eastAsia="仿宋_GB2312"/>
                <w:sz w:val="24"/>
              </w:rPr>
            </w:pPr>
            <w:r>
              <w:rPr>
                <w:rFonts w:hint="eastAsia" w:ascii="仿宋_GB2312" w:eastAsia="仿宋_GB2312"/>
                <w:sz w:val="24"/>
              </w:rPr>
              <w:t>白  天</w:t>
            </w:r>
          </w:p>
        </w:tc>
        <w:tc>
          <w:tcPr>
            <w:tcW w:w="1603" w:type="dxa"/>
            <w:gridSpan w:val="2"/>
            <w:tcBorders>
              <w:top w:val="single" w:color="auto" w:sz="4" w:space="0"/>
              <w:left w:val="single" w:color="auto" w:sz="4" w:space="0"/>
              <w:bottom w:val="single" w:color="auto" w:sz="4" w:space="0"/>
              <w:right w:val="single" w:color="auto" w:sz="4" w:space="0"/>
            </w:tcBorders>
            <w:vAlign w:val="center"/>
          </w:tcPr>
          <w:p>
            <w:pPr>
              <w:autoSpaceDN w:val="0"/>
              <w:spacing w:line="240" w:lineRule="exact"/>
              <w:jc w:val="center"/>
              <w:rPr>
                <w:rFonts w:hint="eastAsia" w:ascii="仿宋_GB2312" w:eastAsia="仿宋_GB2312"/>
                <w:sz w:val="24"/>
              </w:rPr>
            </w:pPr>
            <w:r>
              <w:rPr>
                <w:rFonts w:hint="eastAsia" w:ascii="仿宋_GB2312" w:eastAsia="仿宋_GB2312"/>
                <w:sz w:val="24"/>
              </w:rPr>
              <w:t>夜  间</w:t>
            </w:r>
          </w:p>
        </w:tc>
        <w:tc>
          <w:tcPr>
            <w:tcW w:w="802" w:type="dxa"/>
            <w:vMerge w:val="restart"/>
            <w:tcBorders>
              <w:top w:val="single" w:color="auto" w:sz="4" w:space="0"/>
              <w:left w:val="single" w:color="auto" w:sz="4" w:space="0"/>
              <w:bottom w:val="single" w:color="auto" w:sz="4" w:space="0"/>
              <w:right w:val="single" w:color="auto" w:sz="4" w:space="0"/>
            </w:tcBorders>
            <w:vAlign w:val="center"/>
          </w:tcPr>
          <w:p>
            <w:pPr>
              <w:autoSpaceDN w:val="0"/>
              <w:spacing w:line="240" w:lineRule="exact"/>
              <w:jc w:val="center"/>
              <w:rPr>
                <w:rFonts w:hint="eastAsia" w:ascii="仿宋_GB2312" w:eastAsia="仿宋_GB2312"/>
                <w:sz w:val="24"/>
              </w:rPr>
            </w:pPr>
            <w:r>
              <w:rPr>
                <w:rFonts w:hint="eastAsia" w:ascii="仿宋_GB2312" w:eastAsia="仿宋_GB2312"/>
                <w:sz w:val="24"/>
              </w:rPr>
              <w:t>24小时封顶</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1294" w:hRule="atLeast"/>
        </w:trPr>
        <w:tc>
          <w:tcPr>
            <w:tcW w:w="1022" w:type="dxa"/>
            <w:vMerge w:val="continue"/>
            <w:tcBorders>
              <w:top w:val="single" w:color="auto" w:sz="4" w:space="0"/>
              <w:left w:val="single" w:color="auto" w:sz="4" w:space="0"/>
              <w:bottom w:val="single" w:color="auto" w:sz="4" w:space="0"/>
              <w:right w:val="single" w:color="auto" w:sz="4" w:space="0"/>
              <w:tl2br w:val="single" w:color="auto" w:sz="4" w:space="0"/>
            </w:tcBorders>
            <w:vAlign w:val="center"/>
          </w:tcPr>
          <w:p>
            <w:pPr>
              <w:widowControl/>
              <w:jc w:val="left"/>
              <w:rPr>
                <w:szCs w:val="21"/>
              </w:rPr>
            </w:pPr>
          </w:p>
        </w:tc>
        <w:tc>
          <w:tcPr>
            <w:tcW w:w="800" w:type="dxa"/>
            <w:tcBorders>
              <w:top w:val="single" w:color="auto" w:sz="4" w:space="0"/>
              <w:left w:val="single" w:color="auto" w:sz="4" w:space="0"/>
              <w:bottom w:val="single" w:color="auto" w:sz="4" w:space="0"/>
              <w:right w:val="single" w:color="auto" w:sz="4" w:space="0"/>
            </w:tcBorders>
            <w:vAlign w:val="center"/>
          </w:tcPr>
          <w:p>
            <w:pPr>
              <w:autoSpaceDN w:val="0"/>
              <w:spacing w:line="240" w:lineRule="exact"/>
              <w:rPr>
                <w:rFonts w:ascii="仿宋_GB2312" w:eastAsia="仿宋_GB2312"/>
                <w:sz w:val="24"/>
              </w:rPr>
            </w:pPr>
            <w:r>
              <w:rPr>
                <w:rFonts w:hint="eastAsia" w:ascii="仿宋_GB2312" w:eastAsia="仿宋_GB2312"/>
                <w:sz w:val="24"/>
              </w:rPr>
              <w:t>前2小时</w:t>
            </w:r>
          </w:p>
        </w:tc>
        <w:tc>
          <w:tcPr>
            <w:tcW w:w="801" w:type="dxa"/>
            <w:tcBorders>
              <w:top w:val="single" w:color="auto" w:sz="4" w:space="0"/>
              <w:left w:val="single" w:color="auto" w:sz="4" w:space="0"/>
              <w:bottom w:val="single" w:color="auto" w:sz="4" w:space="0"/>
              <w:right w:val="single" w:color="auto" w:sz="4" w:space="0"/>
            </w:tcBorders>
            <w:vAlign w:val="center"/>
          </w:tcPr>
          <w:p>
            <w:pPr>
              <w:autoSpaceDN w:val="0"/>
              <w:spacing w:line="240" w:lineRule="exact"/>
              <w:rPr>
                <w:rFonts w:ascii="仿宋_GB2312" w:eastAsia="仿宋_GB2312"/>
                <w:sz w:val="24"/>
              </w:rPr>
            </w:pPr>
            <w:r>
              <w:rPr>
                <w:rFonts w:hint="eastAsia" w:ascii="仿宋_GB2312" w:eastAsia="仿宋_GB2312"/>
                <w:sz w:val="24"/>
              </w:rPr>
              <w:t>超过2小时后每小时</w:t>
            </w:r>
          </w:p>
        </w:tc>
        <w:tc>
          <w:tcPr>
            <w:tcW w:w="801" w:type="dxa"/>
            <w:tcBorders>
              <w:top w:val="single" w:color="auto" w:sz="4" w:space="0"/>
              <w:left w:val="single" w:color="auto" w:sz="4" w:space="0"/>
              <w:bottom w:val="single" w:color="auto" w:sz="4" w:space="0"/>
              <w:right w:val="single" w:color="auto" w:sz="4" w:space="0"/>
            </w:tcBorders>
            <w:vAlign w:val="center"/>
          </w:tcPr>
          <w:p>
            <w:pPr>
              <w:autoSpaceDN w:val="0"/>
              <w:spacing w:line="240" w:lineRule="exact"/>
              <w:rPr>
                <w:rFonts w:ascii="仿宋_GB2312" w:eastAsia="仿宋_GB2312"/>
                <w:sz w:val="24"/>
              </w:rPr>
            </w:pPr>
            <w:r>
              <w:rPr>
                <w:rFonts w:hint="eastAsia" w:ascii="仿宋_GB2312" w:eastAsia="仿宋_GB2312"/>
                <w:sz w:val="24"/>
              </w:rPr>
              <w:t>前2小时</w:t>
            </w:r>
          </w:p>
        </w:tc>
        <w:tc>
          <w:tcPr>
            <w:tcW w:w="802" w:type="dxa"/>
            <w:tcBorders>
              <w:top w:val="single" w:color="auto" w:sz="4" w:space="0"/>
              <w:left w:val="single" w:color="auto" w:sz="4" w:space="0"/>
              <w:bottom w:val="single" w:color="auto" w:sz="4" w:space="0"/>
              <w:right w:val="single" w:color="auto" w:sz="4" w:space="0"/>
            </w:tcBorders>
            <w:vAlign w:val="center"/>
          </w:tcPr>
          <w:p>
            <w:pPr>
              <w:autoSpaceDN w:val="0"/>
              <w:spacing w:line="240" w:lineRule="exact"/>
              <w:rPr>
                <w:rFonts w:ascii="仿宋_GB2312" w:eastAsia="仿宋_GB2312"/>
                <w:sz w:val="24"/>
              </w:rPr>
            </w:pPr>
            <w:r>
              <w:rPr>
                <w:rFonts w:hint="eastAsia" w:ascii="仿宋_GB2312" w:eastAsia="仿宋_GB2312"/>
                <w:sz w:val="24"/>
              </w:rPr>
              <w:t>超过2小时后每小时</w:t>
            </w:r>
          </w:p>
        </w:tc>
        <w:tc>
          <w:tcPr>
            <w:tcW w:w="802"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仿宋_GB2312" w:eastAsia="仿宋_GB2312"/>
                <w:szCs w:val="21"/>
              </w:rPr>
            </w:pPr>
          </w:p>
        </w:tc>
        <w:tc>
          <w:tcPr>
            <w:tcW w:w="801" w:type="dxa"/>
            <w:tcBorders>
              <w:top w:val="single" w:color="auto" w:sz="4" w:space="0"/>
              <w:left w:val="single" w:color="auto" w:sz="4" w:space="0"/>
              <w:bottom w:val="single" w:color="auto" w:sz="4" w:space="0"/>
              <w:right w:val="single" w:color="auto" w:sz="4" w:space="0"/>
            </w:tcBorders>
            <w:vAlign w:val="center"/>
          </w:tcPr>
          <w:p>
            <w:pPr>
              <w:autoSpaceDN w:val="0"/>
              <w:spacing w:line="240" w:lineRule="exact"/>
              <w:rPr>
                <w:rFonts w:ascii="仿宋_GB2312" w:eastAsia="仿宋_GB2312"/>
                <w:sz w:val="24"/>
              </w:rPr>
            </w:pPr>
            <w:r>
              <w:rPr>
                <w:rFonts w:hint="eastAsia" w:ascii="仿宋_GB2312" w:eastAsia="仿宋_GB2312"/>
                <w:sz w:val="24"/>
              </w:rPr>
              <w:t>前2小时</w:t>
            </w:r>
          </w:p>
        </w:tc>
        <w:tc>
          <w:tcPr>
            <w:tcW w:w="802" w:type="dxa"/>
            <w:tcBorders>
              <w:top w:val="single" w:color="auto" w:sz="4" w:space="0"/>
              <w:left w:val="single" w:color="auto" w:sz="4" w:space="0"/>
              <w:bottom w:val="single" w:color="auto" w:sz="4" w:space="0"/>
              <w:right w:val="single" w:color="auto" w:sz="4" w:space="0"/>
            </w:tcBorders>
            <w:vAlign w:val="center"/>
          </w:tcPr>
          <w:p>
            <w:pPr>
              <w:autoSpaceDN w:val="0"/>
              <w:spacing w:line="240" w:lineRule="exact"/>
              <w:rPr>
                <w:rFonts w:ascii="仿宋_GB2312" w:eastAsia="仿宋_GB2312"/>
                <w:sz w:val="24"/>
              </w:rPr>
            </w:pPr>
            <w:r>
              <w:rPr>
                <w:rFonts w:hint="eastAsia" w:ascii="仿宋_GB2312" w:eastAsia="仿宋_GB2312"/>
                <w:sz w:val="24"/>
              </w:rPr>
              <w:t>超过2小时后每小时</w:t>
            </w:r>
          </w:p>
        </w:tc>
        <w:tc>
          <w:tcPr>
            <w:tcW w:w="801" w:type="dxa"/>
            <w:tcBorders>
              <w:top w:val="single" w:color="auto" w:sz="4" w:space="0"/>
              <w:left w:val="single" w:color="auto" w:sz="4" w:space="0"/>
              <w:bottom w:val="single" w:color="auto" w:sz="4" w:space="0"/>
              <w:right w:val="single" w:color="auto" w:sz="4" w:space="0"/>
            </w:tcBorders>
            <w:vAlign w:val="center"/>
          </w:tcPr>
          <w:p>
            <w:pPr>
              <w:autoSpaceDN w:val="0"/>
              <w:spacing w:line="240" w:lineRule="exact"/>
              <w:rPr>
                <w:rFonts w:ascii="仿宋_GB2312" w:eastAsia="仿宋_GB2312"/>
                <w:sz w:val="24"/>
              </w:rPr>
            </w:pPr>
            <w:r>
              <w:rPr>
                <w:rFonts w:hint="eastAsia" w:ascii="仿宋_GB2312" w:eastAsia="仿宋_GB2312"/>
                <w:sz w:val="24"/>
              </w:rPr>
              <w:t>前2小时</w:t>
            </w:r>
          </w:p>
        </w:tc>
        <w:tc>
          <w:tcPr>
            <w:tcW w:w="802" w:type="dxa"/>
            <w:tcBorders>
              <w:top w:val="single" w:color="auto" w:sz="4" w:space="0"/>
              <w:left w:val="single" w:color="auto" w:sz="4" w:space="0"/>
              <w:bottom w:val="single" w:color="auto" w:sz="4" w:space="0"/>
              <w:right w:val="single" w:color="auto" w:sz="4" w:space="0"/>
            </w:tcBorders>
            <w:vAlign w:val="center"/>
          </w:tcPr>
          <w:p>
            <w:pPr>
              <w:autoSpaceDN w:val="0"/>
              <w:spacing w:line="240" w:lineRule="exact"/>
              <w:rPr>
                <w:rFonts w:ascii="仿宋_GB2312" w:eastAsia="仿宋_GB2312"/>
                <w:sz w:val="24"/>
              </w:rPr>
            </w:pPr>
            <w:r>
              <w:rPr>
                <w:rFonts w:hint="eastAsia" w:ascii="仿宋_GB2312" w:eastAsia="仿宋_GB2312"/>
                <w:sz w:val="24"/>
              </w:rPr>
              <w:t>超过2小时后每小时</w:t>
            </w:r>
          </w:p>
        </w:tc>
        <w:tc>
          <w:tcPr>
            <w:tcW w:w="802"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仿宋_GB2312" w:eastAsia="仿宋_GB2312"/>
                <w:szCs w:val="21"/>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c>
          <w:tcPr>
            <w:tcW w:w="1022" w:type="dxa"/>
            <w:tcBorders>
              <w:top w:val="single" w:color="auto" w:sz="4" w:space="0"/>
              <w:left w:val="single" w:color="auto" w:sz="4" w:space="0"/>
              <w:bottom w:val="single" w:color="auto" w:sz="4" w:space="0"/>
              <w:right w:val="single" w:color="auto" w:sz="4" w:space="0"/>
            </w:tcBorders>
            <w:vAlign w:val="top"/>
          </w:tcPr>
          <w:p>
            <w:pPr>
              <w:autoSpaceDN w:val="0"/>
              <w:spacing w:line="360" w:lineRule="exact"/>
              <w:jc w:val="center"/>
              <w:rPr>
                <w:rFonts w:ascii="仿宋_GB2312" w:eastAsia="仿宋_GB2312"/>
                <w:sz w:val="24"/>
              </w:rPr>
            </w:pPr>
            <w:r>
              <w:rPr>
                <w:rFonts w:hint="eastAsia" w:ascii="仿宋_GB2312" w:eastAsia="仿宋_GB2312"/>
                <w:sz w:val="24"/>
              </w:rPr>
              <w:t>小型车</w:t>
            </w:r>
          </w:p>
        </w:tc>
        <w:tc>
          <w:tcPr>
            <w:tcW w:w="800"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10</w:t>
            </w:r>
          </w:p>
        </w:tc>
        <w:tc>
          <w:tcPr>
            <w:tcW w:w="801"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3</w:t>
            </w:r>
          </w:p>
        </w:tc>
        <w:tc>
          <w:tcPr>
            <w:tcW w:w="801"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6</w:t>
            </w:r>
          </w:p>
        </w:tc>
        <w:tc>
          <w:tcPr>
            <w:tcW w:w="802"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2.5</w:t>
            </w:r>
          </w:p>
        </w:tc>
        <w:tc>
          <w:tcPr>
            <w:tcW w:w="802"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50</w:t>
            </w:r>
          </w:p>
        </w:tc>
        <w:tc>
          <w:tcPr>
            <w:tcW w:w="801"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6</w:t>
            </w:r>
          </w:p>
        </w:tc>
        <w:tc>
          <w:tcPr>
            <w:tcW w:w="802"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2</w:t>
            </w:r>
          </w:p>
        </w:tc>
        <w:tc>
          <w:tcPr>
            <w:tcW w:w="801"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3</w:t>
            </w:r>
          </w:p>
        </w:tc>
        <w:tc>
          <w:tcPr>
            <w:tcW w:w="802"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1</w:t>
            </w:r>
          </w:p>
        </w:tc>
        <w:tc>
          <w:tcPr>
            <w:tcW w:w="802"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25</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c>
          <w:tcPr>
            <w:tcW w:w="1022" w:type="dxa"/>
            <w:tcBorders>
              <w:top w:val="single" w:color="auto" w:sz="4" w:space="0"/>
              <w:left w:val="single" w:color="auto" w:sz="4" w:space="0"/>
              <w:bottom w:val="single" w:color="auto" w:sz="4" w:space="0"/>
              <w:right w:val="single" w:color="auto" w:sz="4" w:space="0"/>
            </w:tcBorders>
            <w:vAlign w:val="top"/>
          </w:tcPr>
          <w:p>
            <w:pPr>
              <w:autoSpaceDN w:val="0"/>
              <w:spacing w:line="360" w:lineRule="exact"/>
              <w:jc w:val="center"/>
              <w:rPr>
                <w:sz w:val="24"/>
              </w:rPr>
            </w:pPr>
            <w:r>
              <w:rPr>
                <w:rFonts w:hint="eastAsia" w:ascii="仿宋_GB2312" w:eastAsia="仿宋_GB2312"/>
                <w:sz w:val="24"/>
              </w:rPr>
              <w:t>中型车</w:t>
            </w:r>
          </w:p>
        </w:tc>
        <w:tc>
          <w:tcPr>
            <w:tcW w:w="800"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25</w:t>
            </w:r>
          </w:p>
        </w:tc>
        <w:tc>
          <w:tcPr>
            <w:tcW w:w="801"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8</w:t>
            </w:r>
          </w:p>
        </w:tc>
        <w:tc>
          <w:tcPr>
            <w:tcW w:w="801"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10</w:t>
            </w:r>
          </w:p>
        </w:tc>
        <w:tc>
          <w:tcPr>
            <w:tcW w:w="802"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6</w:t>
            </w:r>
          </w:p>
        </w:tc>
        <w:tc>
          <w:tcPr>
            <w:tcW w:w="802"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125</w:t>
            </w:r>
          </w:p>
        </w:tc>
        <w:tc>
          <w:tcPr>
            <w:tcW w:w="801"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12</w:t>
            </w:r>
          </w:p>
        </w:tc>
        <w:tc>
          <w:tcPr>
            <w:tcW w:w="802"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4</w:t>
            </w:r>
          </w:p>
        </w:tc>
        <w:tc>
          <w:tcPr>
            <w:tcW w:w="801"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6</w:t>
            </w:r>
          </w:p>
        </w:tc>
        <w:tc>
          <w:tcPr>
            <w:tcW w:w="802"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2</w:t>
            </w:r>
          </w:p>
        </w:tc>
        <w:tc>
          <w:tcPr>
            <w:tcW w:w="802"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50</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c>
          <w:tcPr>
            <w:tcW w:w="1022" w:type="dxa"/>
            <w:tcBorders>
              <w:top w:val="single" w:color="auto" w:sz="4" w:space="0"/>
              <w:left w:val="single" w:color="auto" w:sz="4" w:space="0"/>
              <w:bottom w:val="single" w:color="auto" w:sz="4" w:space="0"/>
              <w:right w:val="single" w:color="auto" w:sz="4" w:space="0"/>
            </w:tcBorders>
            <w:vAlign w:val="top"/>
          </w:tcPr>
          <w:p>
            <w:pPr>
              <w:autoSpaceDN w:val="0"/>
              <w:spacing w:line="360" w:lineRule="exact"/>
              <w:jc w:val="center"/>
              <w:rPr>
                <w:sz w:val="24"/>
              </w:rPr>
            </w:pPr>
            <w:r>
              <w:rPr>
                <w:rFonts w:hint="eastAsia" w:ascii="仿宋_GB2312" w:eastAsia="仿宋_GB2312"/>
                <w:sz w:val="24"/>
              </w:rPr>
              <w:t>大型车</w:t>
            </w:r>
          </w:p>
        </w:tc>
        <w:tc>
          <w:tcPr>
            <w:tcW w:w="800"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35</w:t>
            </w:r>
          </w:p>
        </w:tc>
        <w:tc>
          <w:tcPr>
            <w:tcW w:w="801"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12</w:t>
            </w:r>
          </w:p>
        </w:tc>
        <w:tc>
          <w:tcPr>
            <w:tcW w:w="801"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20</w:t>
            </w:r>
          </w:p>
        </w:tc>
        <w:tc>
          <w:tcPr>
            <w:tcW w:w="802"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9</w:t>
            </w:r>
          </w:p>
        </w:tc>
        <w:tc>
          <w:tcPr>
            <w:tcW w:w="802"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175</w:t>
            </w:r>
          </w:p>
        </w:tc>
        <w:tc>
          <w:tcPr>
            <w:tcW w:w="801"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18</w:t>
            </w:r>
          </w:p>
        </w:tc>
        <w:tc>
          <w:tcPr>
            <w:tcW w:w="802"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6</w:t>
            </w:r>
          </w:p>
        </w:tc>
        <w:tc>
          <w:tcPr>
            <w:tcW w:w="801"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9</w:t>
            </w:r>
          </w:p>
        </w:tc>
        <w:tc>
          <w:tcPr>
            <w:tcW w:w="802"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3</w:t>
            </w:r>
          </w:p>
        </w:tc>
        <w:tc>
          <w:tcPr>
            <w:tcW w:w="802" w:type="dxa"/>
            <w:tcBorders>
              <w:top w:val="single" w:color="auto" w:sz="4" w:space="0"/>
              <w:left w:val="single" w:color="auto" w:sz="4" w:space="0"/>
              <w:bottom w:val="single" w:color="auto" w:sz="4" w:space="0"/>
              <w:right w:val="single" w:color="auto" w:sz="4" w:space="0"/>
            </w:tcBorders>
            <w:vAlign w:val="center"/>
          </w:tcPr>
          <w:p>
            <w:pPr>
              <w:autoSpaceDN w:val="0"/>
              <w:spacing w:line="360" w:lineRule="exact"/>
              <w:jc w:val="center"/>
              <w:rPr>
                <w:rFonts w:ascii="仿宋_GB2312" w:eastAsia="仿宋_GB2312"/>
                <w:sz w:val="24"/>
              </w:rPr>
            </w:pPr>
            <w:r>
              <w:rPr>
                <w:rFonts w:hint="eastAsia" w:ascii="仿宋_GB2312" w:eastAsia="仿宋_GB2312"/>
                <w:sz w:val="24"/>
              </w:rPr>
              <w:t>75</w:t>
            </w:r>
          </w:p>
        </w:tc>
      </w:tr>
    </w:tbl>
    <w:p>
      <w:pPr>
        <w:widowControl/>
        <w:autoSpaceDN w:val="0"/>
        <w:spacing w:line="540" w:lineRule="exact"/>
        <w:ind w:firstLine="640" w:firstLineChars="200"/>
        <w:rPr>
          <w:rFonts w:hint="eastAsia" w:ascii="仿宋_GB2312" w:hAnsi="Times New Roman" w:eastAsia="仿宋_GB2312"/>
          <w:sz w:val="32"/>
          <w:szCs w:val="32"/>
        </w:rPr>
      </w:pPr>
      <w:r>
        <w:rPr>
          <w:rFonts w:hint="eastAsia" w:ascii="仿宋_GB2312" w:eastAsia="仿宋_GB2312"/>
          <w:sz w:val="32"/>
          <w:szCs w:val="32"/>
        </w:rPr>
        <w:t>停车前30分钟免费，超过30分钟后开始计费。白天与夜间时段划分：白天（8：00-18：00），夜间（18：00-次日8：00）。遇到停车时间跨白天和夜间两个时间段的，先按进场时间段的收费标准计费，跨时间段收费的必须完成一个计价时间段后再按跨时间段收费。</w:t>
      </w:r>
    </w:p>
    <w:p>
      <w:pPr>
        <w:autoSpaceDN w:val="0"/>
        <w:spacing w:line="540" w:lineRule="exact"/>
        <w:ind w:firstLine="640" w:firstLineChars="200"/>
        <w:rPr>
          <w:rFonts w:hint="eastAsia" w:ascii="仿宋_GB2312" w:eastAsia="仿宋_GB2312"/>
          <w:sz w:val="32"/>
          <w:szCs w:val="32"/>
        </w:rPr>
      </w:pPr>
      <w:r>
        <w:rPr>
          <w:rFonts w:hint="eastAsia" w:ascii="仿宋_GB2312" w:eastAsia="仿宋_GB2312"/>
          <w:sz w:val="32"/>
          <w:szCs w:val="32"/>
        </w:rPr>
        <w:t>景区停车场应按规定实行停车优惠及免费：一是所有停车场对执行公务的军、警及行政执法专用车和消防、救护、抢险救灾、市政设施抢修维护、环卫、殡葬等车辆免收停放服务费；二是对由持残疾证的残疾人本人驾驶的合法残疾人专用车辆免收停放服务费；三是对新能源汽车停车收费实行减免优惠，24小时内首次停车实行2小时免费，2小时后按同车型现行收费标准收取，24小时内多次停车的仅首次享受优惠，连续停车超过24小时的仅享受一次优惠。</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方正小标宋简体">
    <w:altName w:val="黑体"/>
    <w:panose1 w:val="02010601030101010101"/>
    <w:charset w:val="86"/>
    <w:family w:val="auto"/>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FC518A"/>
    <w:rsid w:val="0CFC51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Office_10.8.2.6837_F1E327BC-269C-435d-A152-05C5408002CA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2022-04-12T07:51:00Z</dcterms:created>
  <dc:creator>1</dc:creator>
  <cp:lastModifiedBy>1</cp:lastModifiedBy>
  <dcterms:modified xsi:type="dcterms:W3CDTF">2022-04-12T07:52:02Z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2052-10.8.2.6837</vt:lpwstr>
  </property>
</Properties>
</file>