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widowControl/>
        <w:spacing w:before="50" w:beforeAutospacing="0" w:after="50" w:afterAutospacing="0"/>
        <w:rPr>
          <w:sz w:val="16"/>
          <w:szCs w:val="16"/>
        </w:rPr>
      </w:pPr>
    </w:p>
    <w:p>
      <w:pPr>
        <w:pStyle w:val="5"/>
        <w:widowControl/>
        <w:spacing w:before="50" w:beforeAutospacing="0" w:after="50" w:afterAutospacing="0"/>
        <w:rPr>
          <w:rFonts w:ascii="黑体" w:hAnsi="黑体" w:eastAsia="黑体"/>
          <w:sz w:val="32"/>
          <w:szCs w:val="32"/>
        </w:rPr>
      </w:pPr>
      <w:r>
        <w:rPr>
          <w:rFonts w:hint="eastAsia" w:ascii="黑体" w:hAnsi="黑体" w:eastAsia="黑体"/>
          <w:sz w:val="32"/>
          <w:szCs w:val="32"/>
        </w:rPr>
        <w:t>附件</w:t>
      </w:r>
      <w:r>
        <w:rPr>
          <w:rFonts w:hint="eastAsia" w:ascii="黑体" w:hAnsi="黑体" w:eastAsia="黑体"/>
          <w:sz w:val="32"/>
          <w:szCs w:val="32"/>
          <w:lang w:val="en-US" w:eastAsia="zh-CN"/>
        </w:rPr>
        <w:t>1</w:t>
      </w:r>
      <w:r>
        <w:rPr>
          <w:rFonts w:hint="eastAsia" w:ascii="黑体" w:hAnsi="黑体" w:eastAsia="黑体"/>
          <w:sz w:val="32"/>
          <w:szCs w:val="32"/>
        </w:rPr>
        <w:t>：</w:t>
      </w:r>
    </w:p>
    <w:p>
      <w:pPr>
        <w:pStyle w:val="5"/>
        <w:widowControl/>
        <w:spacing w:before="50" w:beforeAutospacing="0" w:after="50" w:afterAutospacing="0" w:line="560" w:lineRule="exact"/>
        <w:ind w:firstLine="2420" w:firstLineChars="550"/>
        <w:rPr>
          <w:rFonts w:hint="eastAsia" w:ascii="方正小标宋简体" w:eastAsia="方正小标宋简体"/>
          <w:b/>
          <w:sz w:val="44"/>
          <w:szCs w:val="44"/>
        </w:rPr>
      </w:pPr>
      <w:r>
        <w:rPr>
          <w:rStyle w:val="8"/>
          <w:rFonts w:hint="eastAsia" w:ascii="方正小标宋简体" w:hAnsi="宋体" w:eastAsia="方正小标宋简体" w:cs="宋体"/>
          <w:b w:val="0"/>
          <w:sz w:val="44"/>
          <w:szCs w:val="44"/>
          <w:shd w:val="clear" w:color="auto" w:fill="FFFFFF"/>
        </w:rPr>
        <w:t>项目内容与技术路线要求</w:t>
      </w:r>
    </w:p>
    <w:p>
      <w:pPr>
        <w:pStyle w:val="5"/>
        <w:widowControl/>
        <w:spacing w:before="50" w:beforeAutospacing="0" w:after="50" w:afterAutospacing="0" w:line="560" w:lineRule="exact"/>
        <w:ind w:firstLine="640" w:firstLineChars="200"/>
        <w:rPr>
          <w:rFonts w:ascii="黑体" w:hAnsi="黑体" w:eastAsia="黑体" w:cs="宋体"/>
          <w:sz w:val="32"/>
          <w:szCs w:val="32"/>
        </w:rPr>
      </w:pPr>
    </w:p>
    <w:p>
      <w:pPr>
        <w:pStyle w:val="5"/>
        <w:widowControl/>
        <w:spacing w:before="50" w:beforeAutospacing="0" w:after="50" w:afterAutospacing="0" w:line="560" w:lineRule="exact"/>
        <w:ind w:firstLine="640" w:firstLineChars="200"/>
        <w:rPr>
          <w:rFonts w:ascii="黑体" w:hAnsi="黑体" w:eastAsia="黑体" w:cs="宋体"/>
          <w:sz w:val="32"/>
          <w:szCs w:val="32"/>
        </w:rPr>
      </w:pPr>
      <w:r>
        <w:rPr>
          <w:rFonts w:hint="eastAsia" w:ascii="黑体" w:hAnsi="黑体" w:eastAsia="黑体" w:cs="宋体"/>
          <w:sz w:val="32"/>
          <w:szCs w:val="32"/>
        </w:rPr>
        <w:t>一、</w:t>
      </w:r>
      <w:r>
        <w:rPr>
          <w:rFonts w:ascii="黑体" w:hAnsi="黑体" w:eastAsia="黑体" w:cs="宋体"/>
          <w:sz w:val="32"/>
          <w:szCs w:val="32"/>
        </w:rPr>
        <w:t>项目内容</w:t>
      </w:r>
    </w:p>
    <w:p>
      <w:pPr>
        <w:pStyle w:val="5"/>
        <w:widowControl/>
        <w:spacing w:before="50" w:beforeAutospacing="0" w:after="50" w:afterAutospacing="0" w:line="560" w:lineRule="exact"/>
        <w:ind w:firstLine="640" w:firstLineChars="200"/>
        <w:rPr>
          <w:rFonts w:hint="eastAsia" w:ascii="楷体_GB2312" w:eastAsia="楷体_GB2312"/>
          <w:sz w:val="32"/>
          <w:szCs w:val="32"/>
        </w:rPr>
      </w:pPr>
      <w:r>
        <w:rPr>
          <w:rFonts w:hint="eastAsia" w:ascii="楷体_GB2312" w:hAnsi="宋体" w:eastAsia="楷体_GB2312" w:cs="宋体"/>
          <w:sz w:val="32"/>
          <w:szCs w:val="32"/>
        </w:rPr>
        <w:t>（一）</w:t>
      </w:r>
      <w:r>
        <w:rPr>
          <w:rFonts w:hint="eastAsia" w:ascii="楷体_GB2312" w:hAnsi="宋体" w:eastAsia="楷体_GB2312" w:cs="宋体"/>
          <w:sz w:val="32"/>
          <w:szCs w:val="32"/>
          <w:lang w:eastAsia="zh-CN"/>
        </w:rPr>
        <w:t>修编</w:t>
      </w:r>
      <w:r>
        <w:rPr>
          <w:rFonts w:hint="eastAsia" w:ascii="楷体_GB2312" w:hAnsi="宋体" w:eastAsia="楷体_GB2312" w:cs="宋体"/>
          <w:sz w:val="32"/>
          <w:szCs w:val="32"/>
        </w:rPr>
        <w:t>重点岸段库</w:t>
      </w:r>
    </w:p>
    <w:p>
      <w:pPr>
        <w:pStyle w:val="5"/>
        <w:widowControl/>
        <w:spacing w:beforeAutospacing="0" w:afterAutospacing="0" w:line="560" w:lineRule="exact"/>
        <w:ind w:firstLine="640" w:firstLineChars="200"/>
        <w:jc w:val="both"/>
        <w:rPr>
          <w:rFonts w:ascii="仿宋_GB2312" w:eastAsia="仿宋_GB2312"/>
          <w:sz w:val="32"/>
          <w:szCs w:val="32"/>
        </w:rPr>
      </w:pPr>
      <w:r>
        <w:rPr>
          <w:rFonts w:hint="eastAsia" w:ascii="仿宋_GB2312" w:hAnsi="宋体" w:eastAsia="仿宋_GB2312" w:cs="宋体"/>
          <w:sz w:val="32"/>
          <w:szCs w:val="32"/>
          <w:lang w:eastAsia="zh-CN"/>
        </w:rPr>
        <w:t>已</w:t>
      </w:r>
      <w:r>
        <w:rPr>
          <w:rFonts w:hint="eastAsia" w:ascii="仿宋_GB2312" w:hAnsi="宋体" w:eastAsia="仿宋_GB2312" w:cs="宋体"/>
          <w:sz w:val="32"/>
          <w:szCs w:val="32"/>
        </w:rPr>
        <w:t>通过高分辨率卫星遥感影像数据并结合日常工作掌握情况，初步筛选</w:t>
      </w:r>
      <w:r>
        <w:rPr>
          <w:rFonts w:hint="eastAsia" w:ascii="仿宋_GB2312" w:hAnsi="宋体" w:eastAsia="仿宋_GB2312" w:cs="宋体"/>
          <w:sz w:val="32"/>
          <w:szCs w:val="32"/>
          <w:lang w:eastAsia="zh-CN"/>
        </w:rPr>
        <w:t>制作</w:t>
      </w:r>
      <w:r>
        <w:rPr>
          <w:rFonts w:hint="eastAsia" w:ascii="仿宋_GB2312" w:hAnsi="宋体" w:eastAsia="仿宋_GB2312" w:cs="宋体"/>
          <w:sz w:val="32"/>
          <w:szCs w:val="32"/>
        </w:rPr>
        <w:t>平潭综合实验区（</w:t>
      </w:r>
      <w:r>
        <w:rPr>
          <w:rFonts w:ascii="仿宋_GB2312" w:hAnsi="宋体" w:eastAsia="仿宋_GB2312" w:cs="宋体"/>
          <w:sz w:val="32"/>
          <w:szCs w:val="32"/>
        </w:rPr>
        <w:t>主岛及有人居住的离岛）</w:t>
      </w:r>
      <w:r>
        <w:rPr>
          <w:rFonts w:hint="eastAsia" w:ascii="仿宋_GB2312" w:hAnsi="宋体" w:eastAsia="仿宋_GB2312" w:cs="宋体"/>
          <w:sz w:val="32"/>
          <w:szCs w:val="32"/>
        </w:rPr>
        <w:t>海漂垃圾重点岸段库，</w:t>
      </w:r>
      <w:r>
        <w:rPr>
          <w:rFonts w:hint="eastAsia" w:ascii="仿宋_GB2312" w:hAnsi="宋体" w:eastAsia="仿宋_GB2312" w:cs="宋体"/>
          <w:sz w:val="32"/>
          <w:szCs w:val="32"/>
          <w:lang w:eastAsia="zh-CN"/>
        </w:rPr>
        <w:t>并</w:t>
      </w:r>
      <w:r>
        <w:rPr>
          <w:rFonts w:hint="eastAsia" w:ascii="仿宋_GB2312" w:hAnsi="宋体" w:eastAsia="仿宋_GB2312" w:cs="宋体"/>
          <w:sz w:val="32"/>
          <w:szCs w:val="32"/>
        </w:rPr>
        <w:t>制作图册，在岸线分布图上进行标注，主要</w:t>
      </w:r>
      <w:r>
        <w:rPr>
          <w:rFonts w:ascii="仿宋_GB2312" w:hAnsi="宋体" w:eastAsia="仿宋_GB2312" w:cs="宋体"/>
          <w:sz w:val="32"/>
          <w:szCs w:val="32"/>
        </w:rPr>
        <w:t>包括</w:t>
      </w:r>
      <w:r>
        <w:rPr>
          <w:rFonts w:hint="eastAsia" w:ascii="仿宋_GB2312" w:hAnsi="宋体" w:eastAsia="仿宋_GB2312" w:cs="宋体"/>
          <w:sz w:val="32"/>
          <w:szCs w:val="32"/>
        </w:rPr>
        <w:t>滨海沙滩、渔港、居民岸线</w:t>
      </w:r>
      <w:r>
        <w:rPr>
          <w:rFonts w:ascii="仿宋_GB2312" w:hAnsi="宋体" w:eastAsia="仿宋_GB2312" w:cs="宋体"/>
          <w:sz w:val="32"/>
          <w:szCs w:val="32"/>
        </w:rPr>
        <w:t>、</w:t>
      </w:r>
      <w:r>
        <w:rPr>
          <w:rFonts w:hint="eastAsia" w:ascii="仿宋_GB2312" w:hAnsi="宋体" w:eastAsia="仿宋_GB2312" w:cs="宋体"/>
          <w:sz w:val="32"/>
          <w:szCs w:val="32"/>
        </w:rPr>
        <w:t>养殖集中区以及</w:t>
      </w:r>
      <w:r>
        <w:rPr>
          <w:rFonts w:ascii="仿宋_GB2312" w:hAnsi="宋体" w:eastAsia="仿宋_GB2312" w:cs="宋体"/>
          <w:sz w:val="32"/>
          <w:szCs w:val="32"/>
        </w:rPr>
        <w:t>湾区澳内等容易堆积垃圾的区域</w:t>
      </w:r>
      <w:r>
        <w:rPr>
          <w:rFonts w:hint="eastAsia" w:ascii="仿宋_GB2312" w:hAnsi="宋体" w:eastAsia="仿宋_GB2312" w:cs="宋体"/>
          <w:sz w:val="32"/>
          <w:szCs w:val="32"/>
        </w:rPr>
        <w:t>，</w:t>
      </w:r>
      <w:r>
        <w:rPr>
          <w:rFonts w:hint="eastAsia" w:ascii="仿宋_GB2312" w:hAnsi="宋体" w:eastAsia="仿宋_GB2312" w:cs="宋体"/>
          <w:sz w:val="32"/>
          <w:szCs w:val="32"/>
          <w:lang w:eastAsia="zh-CN"/>
        </w:rPr>
        <w:t>后续，将结合工作实际，对</w:t>
      </w:r>
      <w:r>
        <w:rPr>
          <w:rFonts w:hint="eastAsia" w:ascii="仿宋_GB2312" w:hAnsi="宋体" w:eastAsia="仿宋_GB2312" w:cs="宋体"/>
          <w:sz w:val="32"/>
          <w:szCs w:val="32"/>
        </w:rPr>
        <w:t>岸段库需进行定期更新，实行动态管理，确保客观准确。</w:t>
      </w:r>
    </w:p>
    <w:p>
      <w:pPr>
        <w:pStyle w:val="5"/>
        <w:widowControl/>
        <w:spacing w:beforeAutospacing="0" w:afterAutospacing="0" w:line="560" w:lineRule="exact"/>
        <w:ind w:firstLine="640" w:firstLineChars="200"/>
        <w:jc w:val="both"/>
        <w:rPr>
          <w:rFonts w:ascii="仿宋_GB2312" w:eastAsia="仿宋_GB2312"/>
          <w:sz w:val="32"/>
          <w:szCs w:val="32"/>
        </w:rPr>
      </w:pPr>
      <w:r>
        <w:rPr>
          <w:rFonts w:hint="eastAsia" w:ascii="仿宋_GB2312" w:hAnsi="宋体" w:eastAsia="仿宋_GB2312" w:cs="宋体"/>
          <w:sz w:val="32"/>
          <w:szCs w:val="32"/>
        </w:rPr>
        <w:t>（二）抽取重点岸段开展航拍</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从岸段库抽取或者根据日常工作需要，对沿海重点岸段采取预先划定、随机抽取方式进行无人机航拍，事先做好相关保密工作。对选取的监测岸段开展数码航拍及正射影像生产工作，空间分辨率优于0.03m，禁飞区域采用人工现场测量采集并制作专题垃圾分布图。</w:t>
      </w:r>
    </w:p>
    <w:p>
      <w:pPr>
        <w:pStyle w:val="5"/>
        <w:widowControl/>
        <w:spacing w:beforeAutospacing="0" w:afterAutospacing="0" w:line="560" w:lineRule="exact"/>
        <w:ind w:firstLine="640" w:firstLineChars="200"/>
        <w:rPr>
          <w:rFonts w:hint="eastAsia" w:ascii="仿宋_GB2312" w:eastAsia="仿宋_GB2312"/>
          <w:sz w:val="32"/>
          <w:szCs w:val="32"/>
        </w:rPr>
      </w:pPr>
      <w:r>
        <w:rPr>
          <w:rFonts w:hint="eastAsia" w:ascii="仿宋_GB2312" w:hAnsi="宋体" w:eastAsia="仿宋_GB2312" w:cs="宋体"/>
          <w:sz w:val="32"/>
          <w:szCs w:val="32"/>
        </w:rPr>
        <w:t>监测监督的频次和数量：时间按照202</w:t>
      </w:r>
      <w:r>
        <w:rPr>
          <w:rFonts w:hint="eastAsia" w:ascii="仿宋_GB2312" w:hAnsi="宋体" w:eastAsia="仿宋_GB2312" w:cs="宋体"/>
          <w:sz w:val="32"/>
          <w:szCs w:val="32"/>
          <w:lang w:val="en-US" w:eastAsia="zh-CN"/>
        </w:rPr>
        <w:t>3</w:t>
      </w:r>
      <w:r>
        <w:rPr>
          <w:rFonts w:hint="eastAsia" w:ascii="仿宋_GB2312" w:hAnsi="宋体" w:eastAsia="仿宋_GB2312" w:cs="宋体"/>
          <w:sz w:val="32"/>
          <w:szCs w:val="32"/>
        </w:rPr>
        <w:t>年</w:t>
      </w:r>
      <w:r>
        <w:rPr>
          <w:rFonts w:hint="eastAsia" w:ascii="仿宋_GB2312" w:hAnsi="宋体" w:eastAsia="仿宋_GB2312" w:cs="宋体"/>
          <w:sz w:val="32"/>
          <w:szCs w:val="32"/>
          <w:lang w:val="en-US" w:eastAsia="zh-CN"/>
        </w:rPr>
        <w:t>5月至9月和2024年4月</w:t>
      </w:r>
      <w:r>
        <w:rPr>
          <w:rFonts w:hint="eastAsia" w:ascii="仿宋_GB2312" w:hAnsi="宋体" w:eastAsia="仿宋_GB2312" w:cs="宋体"/>
          <w:sz w:val="32"/>
          <w:szCs w:val="32"/>
        </w:rPr>
        <w:t>每月</w:t>
      </w:r>
      <w:r>
        <w:rPr>
          <w:rFonts w:ascii="仿宋_GB2312" w:hAnsi="宋体" w:eastAsia="仿宋_GB2312" w:cs="宋体"/>
          <w:sz w:val="32"/>
          <w:szCs w:val="32"/>
        </w:rPr>
        <w:t>各</w:t>
      </w:r>
      <w:r>
        <w:rPr>
          <w:rFonts w:hint="eastAsia" w:ascii="仿宋_GB2312" w:hAnsi="宋体" w:eastAsia="仿宋_GB2312" w:cs="宋体"/>
          <w:sz w:val="32"/>
          <w:szCs w:val="32"/>
        </w:rPr>
        <w:t>1次</w:t>
      </w:r>
      <w:r>
        <w:rPr>
          <w:rFonts w:hint="eastAsia" w:ascii="仿宋_GB2312" w:hAnsi="宋体" w:eastAsia="仿宋_GB2312" w:cs="宋体"/>
          <w:sz w:val="32"/>
          <w:szCs w:val="32"/>
          <w:lang w:eastAsia="zh-CN"/>
        </w:rPr>
        <w:t>、</w:t>
      </w:r>
      <w:r>
        <w:rPr>
          <w:rFonts w:hint="eastAsia" w:ascii="仿宋_GB2312" w:hAnsi="宋体" w:eastAsia="仿宋_GB2312" w:cs="宋体"/>
          <w:sz w:val="32"/>
          <w:szCs w:val="32"/>
          <w:lang w:val="en-US" w:eastAsia="zh-CN"/>
        </w:rPr>
        <w:t>2023年</w:t>
      </w:r>
      <w:r>
        <w:rPr>
          <w:rFonts w:ascii="仿宋_GB2312" w:hAnsi="宋体" w:eastAsia="仿宋_GB2312" w:cs="宋体"/>
          <w:sz w:val="32"/>
          <w:szCs w:val="32"/>
        </w:rPr>
        <w:t>第四季度</w:t>
      </w:r>
      <w:r>
        <w:rPr>
          <w:rFonts w:hint="eastAsia" w:ascii="仿宋_GB2312" w:hAnsi="宋体" w:eastAsia="仿宋_GB2312" w:cs="宋体"/>
          <w:sz w:val="32"/>
          <w:szCs w:val="32"/>
          <w:lang w:val="en-US" w:eastAsia="zh-CN"/>
        </w:rPr>
        <w:t>和2024年</w:t>
      </w:r>
      <w:r>
        <w:rPr>
          <w:rFonts w:ascii="仿宋_GB2312" w:hAnsi="宋体" w:eastAsia="仿宋_GB2312" w:cs="宋体"/>
          <w:sz w:val="32"/>
          <w:szCs w:val="32"/>
        </w:rPr>
        <w:t>第一季度各</w:t>
      </w:r>
      <w:r>
        <w:rPr>
          <w:rFonts w:hint="eastAsia" w:ascii="仿宋_GB2312" w:hAnsi="宋体" w:eastAsia="仿宋_GB2312" w:cs="宋体"/>
          <w:sz w:val="32"/>
          <w:szCs w:val="32"/>
        </w:rPr>
        <w:t>1次</w:t>
      </w:r>
      <w:r>
        <w:rPr>
          <w:rFonts w:ascii="仿宋_GB2312" w:hAnsi="宋体" w:eastAsia="仿宋_GB2312" w:cs="宋体"/>
          <w:sz w:val="32"/>
          <w:szCs w:val="32"/>
        </w:rPr>
        <w:t>的频次</w:t>
      </w:r>
      <w:r>
        <w:rPr>
          <w:rFonts w:hint="eastAsia" w:ascii="仿宋_GB2312" w:hAnsi="宋体" w:eastAsia="仿宋_GB2312" w:cs="宋体"/>
          <w:sz w:val="32"/>
          <w:szCs w:val="32"/>
        </w:rPr>
        <w:t>，对</w:t>
      </w:r>
      <w:r>
        <w:rPr>
          <w:rFonts w:ascii="仿宋_GB2312" w:hAnsi="宋体" w:eastAsia="仿宋_GB2312" w:cs="宋体"/>
          <w:sz w:val="32"/>
          <w:szCs w:val="32"/>
        </w:rPr>
        <w:t>治理成效开展无人机航拍监测</w:t>
      </w:r>
      <w:r>
        <w:rPr>
          <w:rFonts w:hint="eastAsia" w:ascii="仿宋_GB2312" w:hAnsi="宋体" w:eastAsia="仿宋_GB2312" w:cs="宋体"/>
          <w:sz w:val="32"/>
          <w:szCs w:val="32"/>
        </w:rPr>
        <w:t>。每次</w:t>
      </w:r>
      <w:r>
        <w:rPr>
          <w:rFonts w:ascii="仿宋_GB2312" w:hAnsi="宋体" w:eastAsia="仿宋_GB2312" w:cs="宋体"/>
          <w:sz w:val="32"/>
          <w:szCs w:val="32"/>
        </w:rPr>
        <w:t>航拍考评岸段随机从</w:t>
      </w:r>
      <w:r>
        <w:rPr>
          <w:rFonts w:hint="eastAsia" w:ascii="仿宋_GB2312" w:hAnsi="宋体" w:eastAsia="仿宋_GB2312" w:cs="宋体"/>
          <w:sz w:val="32"/>
          <w:szCs w:val="32"/>
        </w:rPr>
        <w:t>重点岸段</w:t>
      </w:r>
      <w:r>
        <w:rPr>
          <w:rFonts w:ascii="仿宋_GB2312" w:hAnsi="宋体" w:eastAsia="仿宋_GB2312" w:cs="宋体"/>
          <w:sz w:val="32"/>
          <w:szCs w:val="32"/>
        </w:rPr>
        <w:t>库</w:t>
      </w:r>
      <w:r>
        <w:rPr>
          <w:rFonts w:hint="eastAsia" w:ascii="仿宋_GB2312" w:hAnsi="宋体" w:eastAsia="仿宋_GB2312" w:cs="宋体"/>
          <w:sz w:val="32"/>
          <w:szCs w:val="32"/>
        </w:rPr>
        <w:t>中按</w:t>
      </w:r>
      <w:r>
        <w:rPr>
          <w:rFonts w:ascii="仿宋_GB2312" w:hAnsi="宋体" w:eastAsia="仿宋_GB2312" w:cs="宋体"/>
          <w:sz w:val="32"/>
          <w:szCs w:val="32"/>
        </w:rPr>
        <w:t>每个片区</w:t>
      </w:r>
      <w:r>
        <w:rPr>
          <w:rFonts w:hint="eastAsia" w:ascii="仿宋_GB2312" w:hAnsi="宋体" w:eastAsia="仿宋_GB2312" w:cs="宋体"/>
          <w:sz w:val="32"/>
          <w:szCs w:val="32"/>
        </w:rPr>
        <w:t>（</w:t>
      </w:r>
      <w:r>
        <w:rPr>
          <w:rFonts w:ascii="仿宋_GB2312" w:hAnsi="宋体" w:eastAsia="仿宋_GB2312" w:cs="宋体"/>
          <w:sz w:val="32"/>
          <w:szCs w:val="32"/>
        </w:rPr>
        <w:t>共</w:t>
      </w:r>
      <w:r>
        <w:rPr>
          <w:rFonts w:hint="eastAsia" w:ascii="仿宋_GB2312" w:hAnsi="宋体" w:eastAsia="仿宋_GB2312" w:cs="宋体"/>
          <w:sz w:val="32"/>
          <w:szCs w:val="32"/>
        </w:rPr>
        <w:t>4个</w:t>
      </w:r>
      <w:r>
        <w:rPr>
          <w:rFonts w:ascii="仿宋_GB2312" w:hAnsi="宋体" w:eastAsia="仿宋_GB2312" w:cs="宋体"/>
          <w:sz w:val="32"/>
          <w:szCs w:val="32"/>
        </w:rPr>
        <w:t>片区）</w:t>
      </w:r>
      <w:bookmarkStart w:id="0" w:name="_GoBack"/>
      <w:bookmarkEnd w:id="0"/>
      <w:r>
        <w:rPr>
          <w:rFonts w:ascii="仿宋_GB2312" w:hAnsi="宋体" w:eastAsia="仿宋_GB2312" w:cs="宋体"/>
          <w:sz w:val="32"/>
          <w:szCs w:val="32"/>
        </w:rPr>
        <w:t>各一个岸段中抽取</w:t>
      </w:r>
      <w:r>
        <w:rPr>
          <w:rFonts w:hint="eastAsia" w:ascii="仿宋_GB2312" w:hAnsi="宋体" w:eastAsia="仿宋_GB2312" w:cs="宋体"/>
          <w:sz w:val="32"/>
          <w:szCs w:val="32"/>
        </w:rPr>
        <w:t>，</w:t>
      </w:r>
      <w:r>
        <w:rPr>
          <w:rFonts w:ascii="仿宋_GB2312" w:hAnsi="宋体" w:eastAsia="仿宋_GB2312" w:cs="宋体"/>
          <w:sz w:val="32"/>
          <w:szCs w:val="32"/>
        </w:rPr>
        <w:t>每个</w:t>
      </w:r>
      <w:r>
        <w:rPr>
          <w:rFonts w:hint="eastAsia" w:ascii="仿宋_GB2312" w:hAnsi="宋体" w:eastAsia="仿宋_GB2312" w:cs="宋体"/>
          <w:sz w:val="32"/>
          <w:szCs w:val="32"/>
        </w:rPr>
        <w:t>岸段</w:t>
      </w:r>
      <w:r>
        <w:rPr>
          <w:rFonts w:ascii="仿宋_GB2312" w:hAnsi="宋体" w:eastAsia="仿宋_GB2312" w:cs="宋体"/>
          <w:sz w:val="32"/>
          <w:szCs w:val="32"/>
        </w:rPr>
        <w:t>长度约</w:t>
      </w:r>
      <w:r>
        <w:rPr>
          <w:rFonts w:hint="eastAsia" w:ascii="仿宋_GB2312" w:hAnsi="宋体" w:eastAsia="仿宋_GB2312" w:cs="宋体"/>
          <w:sz w:val="32"/>
          <w:szCs w:val="32"/>
        </w:rPr>
        <w:t>2公里。即</w:t>
      </w:r>
      <w:r>
        <w:rPr>
          <w:rFonts w:ascii="仿宋_GB2312" w:hAnsi="宋体" w:eastAsia="仿宋_GB2312" w:cs="宋体"/>
          <w:sz w:val="32"/>
          <w:szCs w:val="32"/>
        </w:rPr>
        <w:t>：</w:t>
      </w:r>
      <w:r>
        <w:rPr>
          <w:rFonts w:hint="eastAsia" w:ascii="仿宋_GB2312" w:hAnsi="宋体" w:eastAsia="仿宋_GB2312" w:cs="宋体"/>
          <w:sz w:val="32"/>
          <w:szCs w:val="32"/>
          <w:lang w:val="en-US" w:eastAsia="zh-CN"/>
        </w:rPr>
        <w:t>本项目</w:t>
      </w:r>
      <w:r>
        <w:rPr>
          <w:rFonts w:ascii="仿宋_GB2312" w:hAnsi="宋体" w:eastAsia="仿宋_GB2312" w:cs="宋体"/>
          <w:sz w:val="32"/>
          <w:szCs w:val="32"/>
        </w:rPr>
        <w:t>共</w:t>
      </w:r>
      <w:r>
        <w:rPr>
          <w:rFonts w:hint="eastAsia" w:ascii="仿宋_GB2312" w:hAnsi="宋体" w:eastAsia="仿宋_GB2312" w:cs="宋体"/>
          <w:sz w:val="32"/>
          <w:szCs w:val="32"/>
          <w:lang w:val="en-US" w:eastAsia="zh-CN"/>
        </w:rPr>
        <w:t>计</w:t>
      </w:r>
      <w:r>
        <w:rPr>
          <w:rFonts w:hint="eastAsia" w:ascii="仿宋_GB2312" w:hAnsi="宋体" w:eastAsia="仿宋_GB2312" w:cs="宋体"/>
          <w:sz w:val="32"/>
          <w:szCs w:val="32"/>
        </w:rPr>
        <w:t>8次，</w:t>
      </w:r>
      <w:r>
        <w:rPr>
          <w:rFonts w:ascii="仿宋_GB2312" w:hAnsi="宋体" w:eastAsia="仿宋_GB2312" w:cs="宋体"/>
          <w:sz w:val="32"/>
          <w:szCs w:val="32"/>
        </w:rPr>
        <w:t>每次</w:t>
      </w:r>
      <w:r>
        <w:rPr>
          <w:rFonts w:hint="eastAsia" w:ascii="仿宋_GB2312" w:hAnsi="宋体" w:eastAsia="仿宋_GB2312" w:cs="宋体"/>
          <w:sz w:val="32"/>
          <w:szCs w:val="32"/>
        </w:rPr>
        <w:t>4个</w:t>
      </w:r>
      <w:r>
        <w:rPr>
          <w:rFonts w:ascii="仿宋_GB2312" w:hAnsi="宋体" w:eastAsia="仿宋_GB2312" w:cs="宋体"/>
          <w:sz w:val="32"/>
          <w:szCs w:val="32"/>
        </w:rPr>
        <w:t>岸段，每个岸段长度约</w:t>
      </w:r>
      <w:r>
        <w:rPr>
          <w:rFonts w:hint="eastAsia" w:ascii="仿宋_GB2312" w:hAnsi="宋体" w:eastAsia="仿宋_GB2312" w:cs="宋体"/>
          <w:sz w:val="32"/>
          <w:szCs w:val="32"/>
        </w:rPr>
        <w:t>2公里</w:t>
      </w:r>
      <w:r>
        <w:rPr>
          <w:rFonts w:ascii="仿宋_GB2312" w:hAnsi="宋体" w:eastAsia="仿宋_GB2312" w:cs="宋体"/>
          <w:sz w:val="32"/>
          <w:szCs w:val="32"/>
        </w:rPr>
        <w:t>。</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（三）制定航拍质控标准</w:t>
      </w:r>
    </w:p>
    <w:p>
      <w:pPr>
        <w:pStyle w:val="5"/>
        <w:widowControl/>
        <w:spacing w:beforeAutospacing="0" w:afterAutospacing="0" w:line="560" w:lineRule="exact"/>
        <w:ind w:firstLine="320"/>
        <w:rPr>
          <w:rFonts w:ascii="仿宋_GB2312" w:eastAsia="仿宋_GB2312"/>
          <w:sz w:val="32"/>
          <w:szCs w:val="32"/>
        </w:rPr>
      </w:pPr>
      <w:r>
        <w:rPr>
          <w:rFonts w:hint="eastAsia" w:ascii="仿宋_GB2312" w:hAnsi="宋体" w:eastAsia="仿宋_GB2312" w:cs="宋体"/>
          <w:sz w:val="32"/>
          <w:szCs w:val="32"/>
        </w:rPr>
        <w:t>为保障航拍数据客观准确，有必要对航拍进行严格质控。要求制定相应的航拍质控标准，明确具体操作和数据分析标准，尤其是要明确海漂垃圾分类以及各类型面积、分布密度的计算方法等。</w:t>
      </w:r>
    </w:p>
    <w:p>
      <w:pPr>
        <w:pStyle w:val="5"/>
        <w:widowControl/>
        <w:spacing w:beforeAutospacing="0" w:afterAutospacing="0" w:line="560" w:lineRule="exact"/>
        <w:ind w:firstLine="642" w:firstLineChars="200"/>
        <w:rPr>
          <w:rFonts w:ascii="仿宋_GB2312" w:eastAsia="仿宋_GB2312"/>
          <w:sz w:val="32"/>
          <w:szCs w:val="32"/>
        </w:rPr>
      </w:pPr>
      <w:r>
        <w:rPr>
          <w:rStyle w:val="8"/>
          <w:rFonts w:hint="eastAsia" w:ascii="仿宋_GB2312" w:hAnsi="宋体" w:eastAsia="仿宋_GB2312" w:cs="宋体"/>
          <w:sz w:val="32"/>
          <w:szCs w:val="32"/>
        </w:rPr>
        <w:t>二、技术路线</w:t>
      </w:r>
    </w:p>
    <w:p>
      <w:pPr>
        <w:pStyle w:val="5"/>
        <w:widowControl/>
        <w:spacing w:beforeAutospacing="0" w:afterAutospacing="0" w:line="560" w:lineRule="exact"/>
        <w:ind w:firstLine="640" w:firstLineChars="200"/>
        <w:rPr>
          <w:rFonts w:hint="eastAsia" w:ascii="楷体_GB2312" w:eastAsia="楷体_GB2312"/>
          <w:sz w:val="32"/>
          <w:szCs w:val="32"/>
        </w:rPr>
      </w:pPr>
      <w:r>
        <w:rPr>
          <w:rFonts w:hint="eastAsia" w:ascii="楷体_GB2312" w:hAnsi="宋体" w:eastAsia="楷体_GB2312" w:cs="宋体"/>
          <w:sz w:val="32"/>
          <w:szCs w:val="32"/>
        </w:rPr>
        <w:t>（一）划定监测监督范围</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收集已有高分辨率影像、电子地图或者地形图，通过坐标纠正、坐标转换，生产工作底图。</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利用软件平台，勾画重点岸段线图层。经确认后作为作业工作范围。岸段起始点位置经多方确认后作为后期监测的作业依据。</w:t>
      </w:r>
    </w:p>
    <w:p>
      <w:pPr>
        <w:pStyle w:val="5"/>
        <w:widowControl/>
        <w:spacing w:beforeAutospacing="0" w:afterAutospacing="0" w:line="560" w:lineRule="exact"/>
        <w:ind w:firstLine="640" w:firstLineChars="200"/>
        <w:rPr>
          <w:rFonts w:hint="eastAsia" w:ascii="楷体_GB2312" w:eastAsia="楷体_GB2312"/>
          <w:sz w:val="32"/>
          <w:szCs w:val="32"/>
        </w:rPr>
      </w:pPr>
      <w:r>
        <w:rPr>
          <w:rFonts w:hint="eastAsia" w:ascii="楷体_GB2312" w:hAnsi="宋体" w:eastAsia="楷体_GB2312" w:cs="宋体"/>
          <w:sz w:val="32"/>
          <w:szCs w:val="32"/>
        </w:rPr>
        <w:t>（二）无人机数码航拍</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摄影分区基准面的地面分辨率选择应根据航摄成图的要求，结合岸段地形条件、测图等高距确定航摄基高比。</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为保证数码影像符合本项目精度要求，航摄必须选择能见度大于4千米的碧空天气或少云天气（测区上空无云），尽量保持气象条件的基本一致，以获取影像清晰、色彩饱满的航空像片。</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航拍相机需高于2400万像素。</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现场航拍时间尽量考虑现场潮汐情况。</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岸段航拍范围：每个岸段长度根据海漂垃圾实际分布情况确定，一般选择2公里左右，无垃圾或少量垃圾区域不计入长度，岸段宽度一般为向陆200米、向海100米，具体范围根据岸段实际地形来确定，如沿岸为海堤的，以堤顶为界；沿岸为村庄的，以最靠海一侧房子外墙为界；沿岸为道路的，以道路向海一侧为边界；沿岸为渔港的，考评范围包括防波堤、码头、港池水域。</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现场采样：对进行航拍的每个岸段采取2个样方进行垃圾实际类型(水草、树枝、木头、竹竿、饮料瓶、塑料袋和养殖泡沫浮球等)及面积测量，并与无人机航拍影像结果进行验证。</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作业安全：海岸段作业要避开大风天气，注意避开周边风力发电设备，同时注意海边作业安全。</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（三）正射影像生产</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利用专业影像处理软件对无人机航拍影像进行处理，通过初始化处理、影像纹理处理、生成正射影像图及指数计算等步骤，基于相邻影像间的同名特征点进行空三、匹配计算，生成空三加密成果及正射影像。正射影像成果应满足项目使用要求。</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（四）专题数据采集与数据比对监测</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shd w:val="clear" w:color="auto" w:fill="FFFFFF"/>
        </w:rPr>
        <w:t>基于无人机航拍正射影像图，采用人工判读解译，采集海漂垃圾分布数据（包括位置、类型、面积等要素）生成重要岸段海漂垃圾监测专题图层和统计报表，采集按点、面要素采集。其中点要素采集散落垃圾点位置，其面积按点数乘以图像空间分辨率计算；面要素采集连片垃圾要素，面积利用GIS空间量算获取。</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rPr>
        <w:t>说明：1:1000影像（分辨率0.1米）中可判读识别的最小垃圾要素面积为0.04平方米，点要素按0.04平方米/点计算面积。</w:t>
      </w:r>
    </w:p>
    <w:p>
      <w:pPr>
        <w:pStyle w:val="5"/>
        <w:widowControl/>
        <w:spacing w:beforeAutospacing="0" w:afterAutospacing="0" w:line="560" w:lineRule="exact"/>
        <w:ind w:firstLine="480" w:firstLineChars="150"/>
        <w:rPr>
          <w:rFonts w:ascii="仿宋_GB2312" w:eastAsia="仿宋_GB2312"/>
          <w:sz w:val="32"/>
          <w:szCs w:val="32"/>
        </w:rPr>
      </w:pPr>
      <w:r>
        <w:rPr>
          <w:rFonts w:hint="eastAsia" w:ascii="仿宋_GB2312" w:hAnsi="宋体" w:eastAsia="仿宋_GB2312" w:cs="宋体"/>
          <w:sz w:val="32"/>
          <w:szCs w:val="32"/>
        </w:rPr>
        <w:t>（五）项目监测成果</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shd w:val="clear" w:color="auto" w:fill="FFFFFF"/>
        </w:rPr>
        <w:t>1.海漂垃圾重点岸段库及图册。要求</w:t>
      </w:r>
      <w:r>
        <w:rPr>
          <w:rFonts w:hint="eastAsia" w:ascii="仿宋_GB2312" w:hAnsi="宋体" w:eastAsia="仿宋_GB2312" w:cs="宋体"/>
          <w:sz w:val="32"/>
          <w:szCs w:val="32"/>
        </w:rPr>
        <w:t>在岸线分布图上进行标注，覆盖滨海沙滩、渔港、居民岸线</w:t>
      </w:r>
      <w:r>
        <w:rPr>
          <w:rFonts w:ascii="仿宋_GB2312" w:hAnsi="宋体" w:eastAsia="仿宋_GB2312" w:cs="宋体"/>
          <w:sz w:val="32"/>
          <w:szCs w:val="32"/>
        </w:rPr>
        <w:t>、</w:t>
      </w:r>
      <w:r>
        <w:rPr>
          <w:rFonts w:hint="eastAsia" w:ascii="仿宋_GB2312" w:hAnsi="宋体" w:eastAsia="仿宋_GB2312" w:cs="宋体"/>
          <w:sz w:val="32"/>
          <w:szCs w:val="32"/>
        </w:rPr>
        <w:t>养殖集中区以及</w:t>
      </w:r>
      <w:r>
        <w:rPr>
          <w:rFonts w:ascii="仿宋_GB2312" w:hAnsi="宋体" w:eastAsia="仿宋_GB2312" w:cs="宋体"/>
          <w:sz w:val="32"/>
          <w:szCs w:val="32"/>
        </w:rPr>
        <w:t>湾区澳内等容易堆积垃圾的区域</w:t>
      </w:r>
      <w:r>
        <w:rPr>
          <w:rFonts w:hint="eastAsia" w:ascii="仿宋_GB2312" w:hAnsi="宋体" w:eastAsia="仿宋_GB2312" w:cs="宋体"/>
          <w:sz w:val="32"/>
          <w:szCs w:val="32"/>
        </w:rPr>
        <w:t>，岸段库需每年更新，实行动态管理，确保客观准确。</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shd w:val="clear" w:color="auto" w:fill="FFFFFF"/>
        </w:rPr>
        <w:t>2.海漂垃圾航拍质控标准。</w:t>
      </w:r>
      <w:r>
        <w:rPr>
          <w:rFonts w:hint="eastAsia" w:ascii="仿宋_GB2312" w:hAnsi="宋体" w:eastAsia="仿宋_GB2312" w:cs="宋体"/>
          <w:sz w:val="32"/>
          <w:szCs w:val="32"/>
        </w:rPr>
        <w:t>要求制定相应的航拍质控标准，明确具体操作和数据分析标准，尤其是要明确海漂垃圾分类以及各类型面积、分布密度的计算方法等。</w:t>
      </w:r>
    </w:p>
    <w:p>
      <w:pPr>
        <w:pStyle w:val="5"/>
        <w:widowControl/>
        <w:spacing w:beforeAutospacing="0" w:afterAutospacing="0" w:line="560" w:lineRule="exact"/>
        <w:ind w:firstLine="640" w:firstLineChars="200"/>
        <w:rPr>
          <w:rFonts w:ascii="仿宋_GB2312" w:eastAsia="仿宋_GB2312"/>
          <w:sz w:val="32"/>
          <w:szCs w:val="32"/>
        </w:rPr>
      </w:pPr>
      <w:r>
        <w:rPr>
          <w:rFonts w:hint="eastAsia" w:ascii="仿宋_GB2312" w:hAnsi="宋体" w:eastAsia="仿宋_GB2312" w:cs="宋体"/>
          <w:sz w:val="32"/>
          <w:szCs w:val="32"/>
          <w:shd w:val="clear" w:color="auto" w:fill="FFFFFF"/>
        </w:rPr>
        <w:t>3.海漂垃圾无人机航拍报告，报告内需明确监测岸段经纬度、垃圾类型、分布密度等内容，并附相关视频图件等资料。相关数据须按要求同步上传至生态云管理使用，支持基于时间及区域的多重检索。</w:t>
      </w:r>
    </w:p>
    <w:p>
      <w:pPr>
        <w:pStyle w:val="5"/>
        <w:widowControl/>
        <w:spacing w:beforeAutospacing="0" w:afterAutospacing="0" w:line="560" w:lineRule="exact"/>
        <w:ind w:firstLine="640" w:firstLineChars="200"/>
        <w:rPr>
          <w:rFonts w:hint="eastAsia" w:ascii="仿宋_GB2312" w:hAnsi="宋体" w:eastAsia="仿宋_GB2312" w:cs="宋体"/>
          <w:sz w:val="32"/>
          <w:szCs w:val="32"/>
          <w:shd w:val="clear" w:color="auto" w:fill="FFFFFF"/>
        </w:rPr>
      </w:pPr>
      <w:r>
        <w:rPr>
          <w:rFonts w:hint="eastAsia" w:ascii="仿宋_GB2312" w:hAnsi="宋体" w:eastAsia="仿宋_GB2312" w:cs="宋体"/>
          <w:sz w:val="32"/>
          <w:szCs w:val="32"/>
          <w:shd w:val="clear" w:color="auto" w:fill="FFFFFF"/>
        </w:rPr>
        <w:t>4.根据需求同步读取监测岸段的开发利用及入海排污口现状的视频图件。</w:t>
      </w:r>
    </w:p>
    <w:p>
      <w:pPr>
        <w:pStyle w:val="5"/>
        <w:widowControl/>
        <w:spacing w:beforeAutospacing="0" w:afterAutospacing="0" w:line="240" w:lineRule="atLeast"/>
        <w:ind w:firstLine="1766" w:firstLineChars="550"/>
        <w:rPr>
          <w:rStyle w:val="8"/>
          <w:rFonts w:ascii="仿宋_GB2312" w:hAnsi="宋体" w:eastAsia="仿宋_GB2312" w:cs="宋体"/>
          <w:sz w:val="32"/>
          <w:szCs w:val="32"/>
          <w:shd w:val="clear" w:color="auto" w:fill="FFFFFF"/>
        </w:rPr>
      </w:pPr>
    </w:p>
    <w:p>
      <w:pPr>
        <w:pStyle w:val="5"/>
        <w:widowControl/>
        <w:spacing w:beforeAutospacing="0" w:afterAutospacing="0" w:line="240" w:lineRule="atLeast"/>
        <w:ind w:firstLine="1766" w:firstLineChars="550"/>
        <w:rPr>
          <w:rStyle w:val="8"/>
          <w:rFonts w:ascii="仿宋_GB2312" w:hAnsi="宋体" w:eastAsia="仿宋_GB2312" w:cs="宋体"/>
          <w:sz w:val="32"/>
          <w:szCs w:val="32"/>
          <w:shd w:val="clear" w:color="auto" w:fill="FFFFFF"/>
        </w:rPr>
      </w:pPr>
    </w:p>
    <w:p>
      <w:pPr>
        <w:pStyle w:val="5"/>
        <w:widowControl/>
        <w:spacing w:beforeAutospacing="0" w:afterAutospacing="0" w:line="240" w:lineRule="atLeast"/>
        <w:ind w:firstLine="1766" w:firstLineChars="550"/>
        <w:rPr>
          <w:rStyle w:val="8"/>
          <w:rFonts w:ascii="仿宋_GB2312" w:hAnsi="宋体" w:eastAsia="仿宋_GB2312" w:cs="宋体"/>
          <w:sz w:val="32"/>
          <w:szCs w:val="32"/>
          <w:shd w:val="clear" w:color="auto" w:fill="FFFFFF"/>
        </w:rPr>
      </w:pPr>
    </w:p>
    <w:p>
      <w:pPr>
        <w:pStyle w:val="5"/>
        <w:widowControl/>
        <w:spacing w:beforeAutospacing="0" w:afterAutospacing="0" w:line="240" w:lineRule="atLeast"/>
        <w:ind w:firstLine="1766" w:firstLineChars="550"/>
        <w:rPr>
          <w:rStyle w:val="8"/>
          <w:rFonts w:ascii="仿宋_GB2312" w:hAnsi="宋体" w:eastAsia="仿宋_GB2312" w:cs="宋体"/>
          <w:sz w:val="32"/>
          <w:szCs w:val="32"/>
          <w:shd w:val="clear" w:color="auto" w:fill="FFFFFF"/>
        </w:rPr>
      </w:pPr>
    </w:p>
    <w:p>
      <w:pPr>
        <w:pStyle w:val="5"/>
        <w:widowControl/>
        <w:spacing w:beforeAutospacing="0" w:afterAutospacing="0" w:line="240" w:lineRule="atLeast"/>
        <w:ind w:firstLine="1766" w:firstLineChars="550"/>
        <w:rPr>
          <w:rStyle w:val="8"/>
          <w:rFonts w:ascii="仿宋_GB2312" w:hAnsi="宋体" w:eastAsia="仿宋_GB2312" w:cs="宋体"/>
          <w:sz w:val="32"/>
          <w:szCs w:val="32"/>
          <w:shd w:val="clear" w:color="auto" w:fill="FFFFFF"/>
        </w:rPr>
      </w:pPr>
    </w:p>
    <w:p>
      <w:pPr>
        <w:pStyle w:val="5"/>
        <w:widowControl/>
        <w:spacing w:beforeAutospacing="0" w:afterAutospacing="0" w:line="240" w:lineRule="atLeast"/>
        <w:ind w:firstLine="1766" w:firstLineChars="550"/>
        <w:rPr>
          <w:rStyle w:val="8"/>
          <w:rFonts w:ascii="仿宋_GB2312" w:hAnsi="宋体" w:eastAsia="仿宋_GB2312" w:cs="宋体"/>
          <w:sz w:val="32"/>
          <w:szCs w:val="32"/>
          <w:shd w:val="clear" w:color="auto" w:fill="FFFFFF"/>
        </w:rPr>
      </w:pPr>
    </w:p>
    <w:p>
      <w:pPr>
        <w:pStyle w:val="5"/>
        <w:widowControl/>
        <w:spacing w:beforeAutospacing="0" w:afterAutospacing="0" w:line="240" w:lineRule="atLeast"/>
        <w:ind w:firstLine="1766" w:firstLineChars="550"/>
        <w:rPr>
          <w:rStyle w:val="8"/>
          <w:rFonts w:ascii="仿宋_GB2312" w:hAnsi="宋体" w:eastAsia="仿宋_GB2312" w:cs="宋体"/>
          <w:sz w:val="32"/>
          <w:szCs w:val="32"/>
          <w:shd w:val="clear" w:color="auto" w:fill="FFFFFF"/>
        </w:rPr>
      </w:pPr>
    </w:p>
    <w:p>
      <w:pPr>
        <w:pStyle w:val="5"/>
        <w:widowControl/>
        <w:spacing w:beforeAutospacing="0" w:afterAutospacing="0" w:line="240" w:lineRule="atLeast"/>
        <w:ind w:firstLine="1766" w:firstLineChars="550"/>
        <w:rPr>
          <w:rFonts w:ascii="仿宋_GB2312" w:eastAsia="仿宋_GB2312"/>
          <w:sz w:val="32"/>
          <w:szCs w:val="32"/>
        </w:rPr>
      </w:pPr>
      <w:r>
        <w:rPr>
          <w:rStyle w:val="8"/>
          <w:rFonts w:hint="eastAsia" w:ascii="仿宋_GB2312" w:hAnsi="宋体" w:eastAsia="仿宋_GB2312" w:cs="宋体"/>
          <w:sz w:val="32"/>
          <w:szCs w:val="32"/>
          <w:shd w:val="clear" w:color="auto" w:fill="FFFFFF"/>
        </w:rPr>
        <w:t>表1  无人机航摄成果要求</w:t>
      </w:r>
    </w:p>
    <w:tbl>
      <w:tblPr>
        <w:tblStyle w:val="6"/>
        <w:tblW w:w="8723" w:type="dxa"/>
        <w:tblCellSpacing w:w="15"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548"/>
        <w:gridCol w:w="1730"/>
        <w:gridCol w:w="1630"/>
        <w:gridCol w:w="2487"/>
        <w:gridCol w:w="23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69" w:hRule="atLeast"/>
          <w:tblCellSpacing w:w="15" w:type="dxa"/>
        </w:trPr>
        <w:tc>
          <w:tcPr>
            <w:tcW w:w="50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序号</w:t>
            </w:r>
          </w:p>
        </w:tc>
        <w:tc>
          <w:tcPr>
            <w:tcW w:w="1700"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成果类型</w:t>
            </w:r>
          </w:p>
        </w:tc>
        <w:tc>
          <w:tcPr>
            <w:tcW w:w="1600"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数据格式</w:t>
            </w:r>
          </w:p>
        </w:tc>
        <w:tc>
          <w:tcPr>
            <w:tcW w:w="2457"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精度</w:t>
            </w:r>
          </w:p>
        </w:tc>
        <w:tc>
          <w:tcPr>
            <w:tcW w:w="228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70" w:hRule="atLeast"/>
          <w:tblCellSpacing w:w="15" w:type="dxa"/>
        </w:trPr>
        <w:tc>
          <w:tcPr>
            <w:tcW w:w="50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1</w:t>
            </w:r>
          </w:p>
        </w:tc>
        <w:tc>
          <w:tcPr>
            <w:tcW w:w="1700"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数字正射影像图</w:t>
            </w:r>
          </w:p>
        </w:tc>
        <w:tc>
          <w:tcPr>
            <w:tcW w:w="1600"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.Tif+.Tfw</w:t>
            </w:r>
          </w:p>
        </w:tc>
        <w:tc>
          <w:tcPr>
            <w:tcW w:w="2457" w:type="dxa"/>
            <w:shd w:val="clear" w:color="auto" w:fill="auto"/>
            <w:tcMar>
              <w:top w:w="0" w:type="dxa"/>
              <w:left w:w="70" w:type="dxa"/>
              <w:bottom w:w="0" w:type="dxa"/>
              <w:right w:w="70" w:type="dxa"/>
            </w:tcMar>
            <w:vAlign w:val="center"/>
          </w:tcPr>
          <w:p>
            <w:pPr>
              <w:pStyle w:val="5"/>
              <w:widowControl/>
              <w:spacing w:line="240" w:lineRule="atLeast"/>
              <w:rPr>
                <w:rFonts w:ascii="仿宋_GB2312" w:eastAsia="仿宋_GB2312"/>
                <w:sz w:val="32"/>
                <w:szCs w:val="32"/>
              </w:rPr>
            </w:pPr>
            <w:r>
              <w:rPr>
                <w:rFonts w:hint="eastAsia" w:ascii="仿宋_GB2312" w:hAnsi="宋体" w:eastAsia="仿宋_GB2312" w:cs="宋体"/>
                <w:sz w:val="32"/>
                <w:szCs w:val="32"/>
              </w:rPr>
              <w:t>地面分辨率优于0.03米，成图比例尺为1:500</w:t>
            </w:r>
          </w:p>
        </w:tc>
        <w:tc>
          <w:tcPr>
            <w:tcW w:w="2283" w:type="dxa"/>
            <w:shd w:val="clear" w:color="auto" w:fill="auto"/>
            <w:tcMar>
              <w:top w:w="0" w:type="dxa"/>
              <w:left w:w="70" w:type="dxa"/>
              <w:bottom w:w="0" w:type="dxa"/>
              <w:right w:w="70" w:type="dxa"/>
            </w:tcMar>
            <w:vAlign w:val="center"/>
          </w:tcPr>
          <w:p>
            <w:pPr>
              <w:pStyle w:val="5"/>
              <w:widowControl/>
              <w:spacing w:line="240" w:lineRule="atLeast"/>
              <w:rPr>
                <w:rFonts w:ascii="仿宋_GB2312" w:eastAsia="仿宋_GB2312"/>
                <w:sz w:val="32"/>
                <w:szCs w:val="32"/>
              </w:rPr>
            </w:pPr>
            <w:r>
              <w:rPr>
                <w:rFonts w:hint="eastAsia" w:ascii="仿宋_GB2312" w:hAnsi="宋体" w:eastAsia="仿宋_GB2312" w:cs="宋体"/>
                <w:sz w:val="32"/>
                <w:szCs w:val="32"/>
              </w:rPr>
              <w:t>严格按照国家成图技术规范实施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83" w:hRule="atLeast"/>
          <w:tblCellSpacing w:w="15" w:type="dxa"/>
        </w:trPr>
        <w:tc>
          <w:tcPr>
            <w:tcW w:w="50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2</w:t>
            </w:r>
          </w:p>
        </w:tc>
        <w:tc>
          <w:tcPr>
            <w:tcW w:w="1700"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高清视频</w:t>
            </w:r>
          </w:p>
        </w:tc>
        <w:tc>
          <w:tcPr>
            <w:tcW w:w="1600"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.mp4或.mov</w:t>
            </w:r>
          </w:p>
        </w:tc>
        <w:tc>
          <w:tcPr>
            <w:tcW w:w="2457"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1080P</w:t>
            </w:r>
          </w:p>
        </w:tc>
        <w:tc>
          <w:tcPr>
            <w:tcW w:w="2283" w:type="dxa"/>
            <w:shd w:val="clear" w:color="auto" w:fill="auto"/>
            <w:tcMar>
              <w:top w:w="0" w:type="dxa"/>
              <w:left w:w="70" w:type="dxa"/>
              <w:bottom w:w="0" w:type="dxa"/>
              <w:right w:w="70" w:type="dxa"/>
            </w:tcMar>
            <w:vAlign w:val="center"/>
          </w:tcPr>
          <w:p>
            <w:pPr>
              <w:pStyle w:val="5"/>
              <w:widowControl/>
              <w:spacing w:line="240" w:lineRule="atLeast"/>
              <w:rPr>
                <w:rFonts w:ascii="仿宋_GB2312" w:eastAsia="仿宋_GB2312"/>
                <w:sz w:val="32"/>
                <w:szCs w:val="32"/>
              </w:rPr>
            </w:pPr>
            <w:r>
              <w:rPr>
                <w:rFonts w:hint="eastAsia" w:ascii="仿宋_GB2312" w:hAnsi="宋体" w:eastAsia="仿宋_GB2312" w:cs="宋体"/>
                <w:sz w:val="32"/>
                <w:szCs w:val="32"/>
              </w:rPr>
              <w:t>可分辨地面细小垃圾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85" w:hRule="atLeast"/>
          <w:tblCellSpacing w:w="15" w:type="dxa"/>
        </w:trPr>
        <w:tc>
          <w:tcPr>
            <w:tcW w:w="50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3</w:t>
            </w:r>
          </w:p>
        </w:tc>
        <w:tc>
          <w:tcPr>
            <w:tcW w:w="1700"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比对成果</w:t>
            </w:r>
          </w:p>
        </w:tc>
        <w:tc>
          <w:tcPr>
            <w:tcW w:w="1600"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.Jpg+.doc</w:t>
            </w:r>
          </w:p>
        </w:tc>
        <w:tc>
          <w:tcPr>
            <w:tcW w:w="2457" w:type="dxa"/>
            <w:shd w:val="clear" w:color="auto" w:fill="auto"/>
            <w:tcMar>
              <w:top w:w="0" w:type="dxa"/>
              <w:left w:w="70" w:type="dxa"/>
              <w:bottom w:w="0" w:type="dxa"/>
              <w:right w:w="70" w:type="dxa"/>
            </w:tcMar>
            <w:vAlign w:val="center"/>
          </w:tcPr>
          <w:p>
            <w:pPr>
              <w:pStyle w:val="5"/>
              <w:widowControl/>
              <w:spacing w:line="240" w:lineRule="atLeast"/>
              <w:rPr>
                <w:rFonts w:ascii="仿宋_GB2312" w:eastAsia="仿宋_GB2312"/>
                <w:sz w:val="32"/>
                <w:szCs w:val="32"/>
              </w:rPr>
            </w:pPr>
            <w:r>
              <w:rPr>
                <w:rFonts w:hint="eastAsia" w:ascii="仿宋_GB2312" w:hAnsi="宋体" w:eastAsia="仿宋_GB2312" w:cs="宋体"/>
                <w:sz w:val="32"/>
                <w:szCs w:val="32"/>
              </w:rPr>
              <w:t>污染区域比对，圈定面积误差＜0.5平方米</w:t>
            </w:r>
          </w:p>
        </w:tc>
        <w:tc>
          <w:tcPr>
            <w:tcW w:w="2283" w:type="dxa"/>
            <w:shd w:val="clear" w:color="auto" w:fill="auto"/>
            <w:tcMar>
              <w:top w:w="0" w:type="dxa"/>
              <w:left w:w="70" w:type="dxa"/>
              <w:bottom w:w="0" w:type="dxa"/>
              <w:right w:w="70" w:type="dxa"/>
            </w:tcMar>
            <w:vAlign w:val="center"/>
          </w:tcPr>
          <w:p>
            <w:pPr>
              <w:widowControl/>
              <w:jc w:val="left"/>
              <w:rPr>
                <w:rFonts w:ascii="仿宋_GB2312" w:eastAsia="仿宋_GB2312"/>
                <w:sz w:val="32"/>
                <w:szCs w:val="3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53" w:hRule="atLeast"/>
          <w:tblCellSpacing w:w="15" w:type="dxa"/>
        </w:trPr>
        <w:tc>
          <w:tcPr>
            <w:tcW w:w="503"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4</w:t>
            </w:r>
          </w:p>
        </w:tc>
        <w:tc>
          <w:tcPr>
            <w:tcW w:w="1700"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定位成果</w:t>
            </w:r>
          </w:p>
        </w:tc>
        <w:tc>
          <w:tcPr>
            <w:tcW w:w="1600" w:type="dxa"/>
            <w:shd w:val="clear" w:color="auto" w:fill="auto"/>
            <w:tcMar>
              <w:top w:w="0" w:type="dxa"/>
              <w:left w:w="70" w:type="dxa"/>
              <w:bottom w:w="0" w:type="dxa"/>
              <w:right w:w="70" w:type="dxa"/>
            </w:tcMar>
            <w:vAlign w:val="center"/>
          </w:tcPr>
          <w:p>
            <w:pPr>
              <w:pStyle w:val="5"/>
              <w:widowControl/>
              <w:spacing w:line="240" w:lineRule="atLeast"/>
              <w:jc w:val="center"/>
              <w:rPr>
                <w:rFonts w:ascii="仿宋_GB2312" w:eastAsia="仿宋_GB2312"/>
                <w:sz w:val="32"/>
                <w:szCs w:val="32"/>
              </w:rPr>
            </w:pPr>
            <w:r>
              <w:rPr>
                <w:rFonts w:hint="eastAsia" w:ascii="仿宋_GB2312" w:hAnsi="宋体" w:eastAsia="仿宋_GB2312" w:cs="宋体"/>
                <w:sz w:val="32"/>
                <w:szCs w:val="32"/>
              </w:rPr>
              <w:t>.doc</w:t>
            </w:r>
          </w:p>
        </w:tc>
        <w:tc>
          <w:tcPr>
            <w:tcW w:w="2457" w:type="dxa"/>
            <w:shd w:val="clear" w:color="auto" w:fill="auto"/>
            <w:tcMar>
              <w:top w:w="0" w:type="dxa"/>
              <w:left w:w="70" w:type="dxa"/>
              <w:bottom w:w="0" w:type="dxa"/>
              <w:right w:w="70" w:type="dxa"/>
            </w:tcMar>
            <w:vAlign w:val="center"/>
          </w:tcPr>
          <w:p>
            <w:pPr>
              <w:pStyle w:val="5"/>
              <w:widowControl/>
              <w:spacing w:line="240" w:lineRule="atLeast"/>
              <w:rPr>
                <w:rFonts w:ascii="仿宋_GB2312" w:eastAsia="仿宋_GB2312"/>
                <w:sz w:val="32"/>
                <w:szCs w:val="32"/>
              </w:rPr>
            </w:pPr>
            <w:r>
              <w:rPr>
                <w:rFonts w:hint="eastAsia" w:ascii="仿宋_GB2312" w:hAnsi="宋体" w:eastAsia="仿宋_GB2312" w:cs="宋体"/>
                <w:sz w:val="32"/>
                <w:szCs w:val="32"/>
              </w:rPr>
              <w:t>污染区域中心点及范围，定位误差＜0.5米</w:t>
            </w:r>
          </w:p>
        </w:tc>
        <w:tc>
          <w:tcPr>
            <w:tcW w:w="2283" w:type="dxa"/>
            <w:shd w:val="clear" w:color="auto" w:fill="auto"/>
            <w:tcMar>
              <w:top w:w="0" w:type="dxa"/>
              <w:left w:w="70" w:type="dxa"/>
              <w:bottom w:w="0" w:type="dxa"/>
              <w:right w:w="70" w:type="dxa"/>
            </w:tcMar>
            <w:vAlign w:val="center"/>
          </w:tcPr>
          <w:p>
            <w:pPr>
              <w:pStyle w:val="5"/>
              <w:widowControl/>
              <w:spacing w:line="240" w:lineRule="atLeast"/>
              <w:rPr>
                <w:rFonts w:ascii="仿宋_GB2312" w:eastAsia="仿宋_GB2312"/>
                <w:sz w:val="32"/>
                <w:szCs w:val="32"/>
              </w:rPr>
            </w:pPr>
            <w:r>
              <w:rPr>
                <w:rFonts w:hint="eastAsia" w:ascii="仿宋_GB2312" w:hAnsi="宋体" w:eastAsia="仿宋_GB2312" w:cs="宋体"/>
                <w:sz w:val="32"/>
                <w:szCs w:val="32"/>
              </w:rPr>
              <w:t>执法监察人员可根据定位点坐标成果快速到达污染区域</w:t>
            </w:r>
          </w:p>
        </w:tc>
      </w:tr>
    </w:tbl>
    <w:p>
      <w:pPr>
        <w:pStyle w:val="5"/>
        <w:widowControl/>
      </w:pPr>
    </w:p>
    <w:p>
      <w:pPr>
        <w:pStyle w:val="5"/>
        <w:widowControl/>
      </w:pPr>
    </w:p>
    <w:p>
      <w:pPr>
        <w:pStyle w:val="5"/>
        <w:widowControl/>
      </w:pPr>
    </w:p>
    <w:p>
      <w:pPr>
        <w:pStyle w:val="5"/>
        <w:widowControl/>
      </w:pPr>
    </w:p>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script"/>
    <w:pitch w:val="default"/>
    <w:sig w:usb0="A00002BF" w:usb1="184F6CFA" w:usb2="00000012" w:usb3="00000000" w:csb0="00040001"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宋体S-超大字符集">
    <w:panose1 w:val="02000000000000000000"/>
    <w:charset w:val="86"/>
    <w:family w:val="auto"/>
    <w:pitch w:val="default"/>
    <w:sig w:usb0="00000001" w:usb1="08000000" w:usb2="00000000" w:usb3="00000000" w:csb0="00040000" w:csb1="00000000"/>
  </w:font>
  <w:font w:name="Nimbus Roman No9 L">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BYAAABkcnMvUEsBAhQAFAAA&#10;AAgAh07iQLNJWO7QAAAABQEAAA8AAAAAAAAAAQAgAAAAOAAAAGRycy9kb3ducmV2LnhtbFBLAQIU&#10;ABQAAAAIAIdO4kAfuQZdyQIAAOwFAAAOAAAAAAAAAAEAIAAAADUBAABkcnMvZTJvRG9jLnhtbFBL&#10;BQYAAAAABgAGAFkBAABwBgAAAAA=&#10;">
              <v:fill on="f" focussize="0,0"/>
              <v:stroke on="f" weight="0.5pt"/>
              <v:imagedata o:title=""/>
              <o:lock v:ext="edit" aspectratio="f"/>
              <v:textbox inset="0mm,0mm,0mm,0mm" style="mso-fit-shape-to-text:t;">
                <w:txbxContent>
                  <w:p>
                    <w:pPr>
                      <w:pStyle w:val="3"/>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78A"/>
    <w:rsid w:val="000A1718"/>
    <w:rsid w:val="002C7BB1"/>
    <w:rsid w:val="002E678A"/>
    <w:rsid w:val="003A0DE9"/>
    <w:rsid w:val="0041182C"/>
    <w:rsid w:val="00491F36"/>
    <w:rsid w:val="005D265B"/>
    <w:rsid w:val="006563BB"/>
    <w:rsid w:val="00691FC9"/>
    <w:rsid w:val="007C5D5E"/>
    <w:rsid w:val="0089745E"/>
    <w:rsid w:val="009100D2"/>
    <w:rsid w:val="00B420B4"/>
    <w:rsid w:val="00C971B0"/>
    <w:rsid w:val="00E40A35"/>
    <w:rsid w:val="00F07583"/>
    <w:rsid w:val="00F81E7D"/>
    <w:rsid w:val="20E374F4"/>
    <w:rsid w:val="467918A3"/>
    <w:rsid w:val="4B8C380B"/>
    <w:rsid w:val="66F717C3"/>
    <w:rsid w:val="7F3165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ody Text"/>
    <w:basedOn w:val="1"/>
    <w:next w:val="1"/>
    <w:link w:val="12"/>
    <w:unhideWhenUsed/>
    <w:qFormat/>
    <w:uiPriority w:val="99"/>
    <w:pPr>
      <w:spacing w:after="120"/>
    </w:pPr>
    <w:rPr>
      <w:rFonts w:ascii="Calibri" w:hAnsi="Calibri" w:eastAsia="宋体" w:cs="Times New Roman"/>
      <w:sz w:val="28"/>
      <w:szCs w:val="22"/>
    </w:r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character" w:styleId="9">
    <w:name w:val="Hyperlink"/>
    <w:qFormat/>
    <w:uiPriority w:val="0"/>
    <w:rPr>
      <w:color w:val="0000FF"/>
      <w:u w:val="single"/>
    </w:rPr>
  </w:style>
  <w:style w:type="character" w:customStyle="1" w:styleId="10">
    <w:name w:val="页眉 Char"/>
    <w:basedOn w:val="7"/>
    <w:link w:val="4"/>
    <w:qFormat/>
    <w:uiPriority w:val="0"/>
    <w:rPr>
      <w:rFonts w:asciiTheme="minorHAnsi" w:hAnsiTheme="minorHAnsi" w:eastAsiaTheme="minorEastAsia" w:cstheme="minorBidi"/>
      <w:kern w:val="2"/>
      <w:sz w:val="18"/>
      <w:szCs w:val="18"/>
    </w:rPr>
  </w:style>
  <w:style w:type="character" w:customStyle="1" w:styleId="11">
    <w:name w:val="页脚 Char"/>
    <w:basedOn w:val="7"/>
    <w:link w:val="3"/>
    <w:qFormat/>
    <w:uiPriority w:val="0"/>
    <w:rPr>
      <w:rFonts w:asciiTheme="minorHAnsi" w:hAnsiTheme="minorHAnsi" w:eastAsiaTheme="minorEastAsia" w:cstheme="minorBidi"/>
      <w:kern w:val="2"/>
      <w:sz w:val="18"/>
      <w:szCs w:val="18"/>
    </w:rPr>
  </w:style>
  <w:style w:type="character" w:customStyle="1" w:styleId="12">
    <w:name w:val="正文文本 Char"/>
    <w:basedOn w:val="7"/>
    <w:link w:val="2"/>
    <w:qFormat/>
    <w:uiPriority w:val="99"/>
    <w:rPr>
      <w:rFonts w:ascii="Calibri" w:hAnsi="Calibri"/>
      <w:kern w:val="2"/>
      <w:sz w:val="28"/>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7090</Words>
  <Characters>7267</Characters>
  <Lines>19</Lines>
  <Paragraphs>5</Paragraphs>
  <TotalTime>0</TotalTime>
  <ScaleCrop>false</ScaleCrop>
  <LinksUpToDate>false</LinksUpToDate>
  <CharactersWithSpaces>7415</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2022-02-23T14:37:00Z</dcterms:created>
  <dc:creator>yjzx12369</dc:creator>
  <cp:lastModifiedBy>liusiying</cp:lastModifiedBy>
  <dcterms:modified xsi:type="dcterms:W3CDTF">2023-03-27T15:45:05Z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185B7E4577CB41C69875CE36AEAB8B94</vt:lpwstr>
  </property>
</Properties>
</file>