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75F71">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方正公文小标宋" w:hAnsi="方正公文小标宋" w:eastAsia="方正公文小标宋" w:cs="方正公文小标宋"/>
          <w:sz w:val="44"/>
          <w:szCs w:val="44"/>
          <w:lang w:val="en-US" w:eastAsia="zh-CN"/>
        </w:rPr>
      </w:pPr>
      <w:r>
        <w:rPr>
          <w:rFonts w:hint="eastAsia" w:ascii="方正公文小标宋" w:hAnsi="方正公文小标宋" w:eastAsia="方正公文小标宋" w:cs="方正公文小标宋"/>
          <w:sz w:val="44"/>
          <w:szCs w:val="44"/>
          <w:lang w:val="en-US" w:eastAsia="zh-CN"/>
        </w:rPr>
        <w:t>法律依据</w:t>
      </w:r>
    </w:p>
    <w:p w14:paraId="1C7E860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color w:val="000000" w:themeColor="text1"/>
          <w:kern w:val="2"/>
          <w:sz w:val="32"/>
          <w:szCs w:val="32"/>
          <w:lang w:val="en-US" w:eastAsia="zh-CN" w:bidi="ar-SA"/>
          <w14:textFill>
            <w14:solidFill>
              <w14:schemeClr w14:val="tx1"/>
            </w14:solidFill>
          </w14:textFill>
        </w:rPr>
      </w:pPr>
    </w:p>
    <w:p w14:paraId="1325067A">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黑体" w:hAnsi="黑体" w:eastAsia="黑体" w:cs="黑体"/>
          <w:color w:val="000000" w:themeColor="text1"/>
          <w:sz w:val="32"/>
          <w:szCs w:val="32"/>
          <w:lang w:eastAsia="zh-CN"/>
          <w14:textFill>
            <w14:solidFill>
              <w14:schemeClr w14:val="tx1"/>
            </w14:solidFill>
          </w14:textFill>
        </w:rPr>
      </w:pPr>
      <w:r>
        <w:rPr>
          <w:rFonts w:hint="eastAsia" w:ascii="黑体" w:hAnsi="黑体" w:eastAsia="黑体" w:cs="黑体"/>
          <w:color w:val="000000" w:themeColor="text1"/>
          <w:kern w:val="2"/>
          <w:sz w:val="32"/>
          <w:szCs w:val="32"/>
          <w:lang w:val="en-US" w:eastAsia="zh-CN" w:bidi="ar-SA"/>
          <w14:textFill>
            <w14:solidFill>
              <w14:schemeClr w14:val="tx1"/>
            </w14:solidFill>
          </w14:textFill>
        </w:rPr>
        <w:t>一、</w:t>
      </w:r>
      <w:r>
        <w:rPr>
          <w:rFonts w:hint="eastAsia" w:ascii="黑体" w:hAnsi="黑体" w:eastAsia="黑体" w:cs="黑体"/>
          <w:color w:val="000000" w:themeColor="text1"/>
          <w:sz w:val="32"/>
          <w:szCs w:val="32"/>
          <w14:textFill>
            <w14:solidFill>
              <w14:schemeClr w14:val="tx1"/>
            </w14:solidFill>
          </w14:textFill>
        </w:rPr>
        <w:t>《招标拍卖挂牌出让国有土地使用权规定》第二十三条</w:t>
      </w:r>
    </w:p>
    <w:p w14:paraId="0DDA36D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受让人依照国有建设用地使用权出让合同的约定付清全部土地出让价款后，方可申请办理土地登记，领取国有建设用地使用权证书。</w:t>
      </w:r>
    </w:p>
    <w:p w14:paraId="35735892">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未按出让合同约定缴清全部土地出让价款的，不得发放国有建设用地使用权证书，也不得按出让价款缴纳比例分割发放国有建设用地使用权证书。</w:t>
      </w:r>
    </w:p>
    <w:p w14:paraId="4FE00336">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黑体" w:hAnsi="黑体" w:eastAsia="黑体" w:cs="黑体"/>
          <w:color w:val="000000" w:themeColor="text1"/>
          <w:kern w:val="2"/>
          <w:sz w:val="32"/>
          <w:szCs w:val="32"/>
          <w:lang w:val="en-US" w:eastAsia="zh-CN" w:bidi="ar-SA"/>
          <w14:textFill>
            <w14:solidFill>
              <w14:schemeClr w14:val="tx1"/>
            </w14:solidFill>
          </w14:textFill>
        </w:rPr>
      </w:pPr>
      <w:r>
        <w:rPr>
          <w:rFonts w:hint="eastAsia" w:ascii="黑体" w:hAnsi="黑体" w:eastAsia="黑体" w:cs="黑体"/>
          <w:color w:val="000000" w:themeColor="text1"/>
          <w:kern w:val="2"/>
          <w:sz w:val="32"/>
          <w:szCs w:val="32"/>
          <w:lang w:val="en-US" w:eastAsia="zh-CN" w:bidi="ar-SA"/>
          <w14:textFill>
            <w14:solidFill>
              <w14:schemeClr w14:val="tx1"/>
            </w14:solidFill>
          </w14:textFill>
        </w:rPr>
        <w:t>二、《不动产登记暂行条例实施细则》第三十四条第一款</w:t>
      </w:r>
    </w:p>
    <w:p w14:paraId="2E5FBC69">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申请国有建设用地使用权首次登记，应当提交下列材料：</w:t>
      </w:r>
    </w:p>
    <w:p w14:paraId="740A8F6B">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（一）土地权属来源材料；</w:t>
      </w:r>
    </w:p>
    <w:p w14:paraId="4E14CBCF">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（二）权籍调查表、宗地图以及宗地界址点坐标；</w:t>
      </w:r>
    </w:p>
    <w:p w14:paraId="691216C1">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（三）土地出让价款、土地租金、相关税费等缴纳凭证；</w:t>
      </w:r>
    </w:p>
    <w:p w14:paraId="281AF023">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sz w:val="32"/>
          <w:szCs w:val="32"/>
        </w:rPr>
        <w:t>（四）其他必要材料。</w:t>
      </w:r>
    </w:p>
    <w:p w14:paraId="1A03808F">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黑体" w:hAnsi="黑体" w:eastAsia="黑体" w:cs="黑体"/>
          <w:color w:val="000000" w:themeColor="text1"/>
          <w:kern w:val="2"/>
          <w:sz w:val="32"/>
          <w:szCs w:val="32"/>
          <w:lang w:val="en-US" w:eastAsia="zh-CN" w:bidi="ar-SA"/>
          <w14:textFill>
            <w14:solidFill>
              <w14:schemeClr w14:val="tx1"/>
            </w14:solidFill>
          </w14:textFill>
        </w:rPr>
      </w:pPr>
      <w:r>
        <w:rPr>
          <w:rFonts w:hint="eastAsia" w:ascii="黑体" w:hAnsi="黑体" w:eastAsia="黑体" w:cs="黑体"/>
          <w:color w:val="000000" w:themeColor="text1"/>
          <w:kern w:val="2"/>
          <w:sz w:val="32"/>
          <w:szCs w:val="32"/>
          <w:lang w:val="en-US" w:eastAsia="zh-CN" w:bidi="ar-SA"/>
          <w14:textFill>
            <w14:solidFill>
              <w14:schemeClr w14:val="tx1"/>
            </w14:solidFill>
          </w14:textFill>
        </w:rPr>
        <w:t>三、《福建省土地登记条例》第十四条第一款</w:t>
      </w:r>
    </w:p>
    <w:p w14:paraId="78482B9F">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第十四条  有下列情形之一的，登记部门可以决定撤销全部或部分已核准的登记事项：</w:t>
      </w:r>
    </w:p>
    <w:p w14:paraId="6686EADF">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（一）当事人在申请登记时隐瞒真实情况或以伪造有关证件等欺骗手段获准登记的；</w:t>
      </w:r>
    </w:p>
    <w:p w14:paraId="5D67514D">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（二）核准登记事项错误或不当的。</w:t>
      </w:r>
    </w:p>
    <w:p w14:paraId="735A0573">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撤销核准登记的决定应当书面通知当事人。当事人对撤销核准登记决定不服的，可以依法申请行政复议或向人民法院提起行政诉讼。</w:t>
      </w:r>
    </w:p>
    <w:p w14:paraId="45090D32">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ascii="黑体" w:hAnsi="黑体" w:eastAsia="黑体" w:cs="黑体"/>
          <w:color w:val="000000" w:themeColor="text1"/>
          <w:kern w:val="2"/>
          <w:sz w:val="32"/>
          <w:szCs w:val="32"/>
          <w:lang w:val="en-US" w:eastAsia="zh-CN" w:bidi="ar-SA"/>
          <w14:textFill>
            <w14:solidFill>
              <w14:schemeClr w14:val="tx1"/>
            </w14:solidFill>
          </w14:textFill>
        </w:rPr>
      </w:pPr>
      <w:r>
        <w:rPr>
          <w:rFonts w:hint="eastAsia" w:ascii="黑体" w:hAnsi="黑体" w:eastAsia="黑体" w:cs="黑体"/>
          <w:color w:val="000000" w:themeColor="text1"/>
          <w:kern w:val="2"/>
          <w:sz w:val="32"/>
          <w:szCs w:val="32"/>
          <w:lang w:val="en-US" w:eastAsia="zh-CN" w:bidi="ar-SA"/>
          <w14:textFill>
            <w14:solidFill>
              <w14:schemeClr w14:val="tx1"/>
            </w14:solidFill>
          </w14:textFill>
        </w:rPr>
        <w:t>四、《不动产登记操作规范》4.8.2</w:t>
      </w:r>
    </w:p>
    <w:p w14:paraId="499756F3">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经审核，符合登记条件的，不动产登记机构应当予以登记。有下列情形之一的，不动产登记机构不予登记并书面通知申请人：</w:t>
      </w:r>
    </w:p>
    <w:p w14:paraId="6F08B9D2">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1.申请人未按照不动产登记机构要求进一步补充材料的；</w:t>
      </w:r>
    </w:p>
    <w:p w14:paraId="755BEBBA">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2.申请人、委托代理人身份证明材料以及授权委托书与申请人不一致的；</w:t>
      </w:r>
    </w:p>
    <w:p w14:paraId="0BB5496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3.申请登记的不动产不符合不动产单元设定条件的；</w:t>
      </w:r>
    </w:p>
    <w:p w14:paraId="3B0753E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4.申请登记的事项与权属来源材料或者登记原因文件不一致的；</w:t>
      </w:r>
    </w:p>
    <w:p w14:paraId="33A17CEF">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5.申请登记的事项与不动产登记簿的记载相冲突的；</w:t>
      </w:r>
    </w:p>
    <w:p w14:paraId="562A2AB8">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6.不动产存在权属争议的，但申请异议登记除外；</w:t>
      </w:r>
    </w:p>
    <w:p w14:paraId="09F9102A">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7.未依法缴纳土地出让价款、土地租金、海域使用金或者相关税费的；</w:t>
      </w:r>
    </w:p>
    <w:p w14:paraId="1591AE8A">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8.申请登记的不动产权利超过规定期限的；</w:t>
      </w:r>
    </w:p>
    <w:p w14:paraId="0631CAC2">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9.不动产被依法查封期间，权利人处分该不动产申请登记的；</w:t>
      </w:r>
    </w:p>
    <w:p w14:paraId="4B968DCF">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10.未经预告登记权利人书面同意，当</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事人处分该不动产申请登记的；</w:t>
      </w:r>
      <w:bookmarkStart w:id="0" w:name="_GoBack"/>
      <w:bookmarkEnd w:id="0"/>
    </w:p>
    <w:p w14:paraId="280750ED">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11.法律、行政法规规定的其他情形。</w:t>
      </w:r>
    </w:p>
    <w:p w14:paraId="71DDA59A">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黑体" w:hAnsi="黑体" w:eastAsia="黑体" w:cs="黑体"/>
          <w:color w:val="000000" w:themeColor="text1"/>
          <w:kern w:val="2"/>
          <w:sz w:val="32"/>
          <w:szCs w:val="32"/>
          <w:lang w:val="en-US" w:eastAsia="zh-CN" w:bidi="ar-SA"/>
          <w14:textFill>
            <w14:solidFill>
              <w14:schemeClr w14:val="tx1"/>
            </w14:solidFill>
          </w14:textFill>
        </w:rPr>
      </w:pPr>
      <w:r>
        <w:rPr>
          <w:rFonts w:hint="eastAsia" w:ascii="黑体" w:hAnsi="黑体" w:eastAsia="黑体" w:cs="黑体"/>
          <w:color w:val="000000" w:themeColor="text1"/>
          <w:kern w:val="2"/>
          <w:sz w:val="32"/>
          <w:szCs w:val="32"/>
          <w:lang w:val="en-US" w:eastAsia="zh-CN" w:bidi="ar-SA"/>
          <w14:textFill>
            <w14:solidFill>
              <w14:schemeClr w14:val="tx1"/>
            </w14:solidFill>
          </w14:textFill>
        </w:rPr>
        <w:t>四、《国家税务总局 财政部 国土资源部关于加强土地税收管理的通知》第四项</w:t>
      </w:r>
    </w:p>
    <w:p w14:paraId="22167A4E">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pPr>
      <w:r>
        <w:rPr>
          <w:rFonts w:hint="eastAsia" w:ascii="仿宋_GB2312" w:hAnsi="仿宋_GB2312" w:eastAsia="仿宋_GB2312" w:cs="仿宋_GB2312"/>
          <w:sz w:val="32"/>
          <w:szCs w:val="32"/>
        </w:rPr>
        <w:t>各级国土资源管理部门在办理土地使用权权属登记时，应按照《中华人民共和国契税暂行条例》、《中华人民共和国土地增值税暂行条例》的规定，在纳税人出具完税（或减免税）凭证后，再办理土地登记手续；对于未出具完税（或减免税）凭证的，不予办理相关的手续。办理土地登记后，应将完税（或减免税）凭证一联与权属登记资料一并归档备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E3EC4A3-F601-4340-9387-D42EF6033E4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2" w:fontKey="{F42D0763-3ACA-480A-8E1A-25DB4D564B55}"/>
  </w:font>
  <w:font w:name="仿宋_GB2312">
    <w:panose1 w:val="02010609030101010101"/>
    <w:charset w:val="86"/>
    <w:family w:val="auto"/>
    <w:pitch w:val="default"/>
    <w:sig w:usb0="00000001" w:usb1="080E0000" w:usb2="00000000" w:usb3="00000000" w:csb0="00040000" w:csb1="00000000"/>
    <w:embedRegular r:id="rId3" w:fontKey="{591ED8A7-2BCA-4258-AF1C-253D460A9AB5}"/>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C27057"/>
    <w:rsid w:val="28C74374"/>
    <w:rsid w:val="5CC27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2025-07-31T07:56:00Z</dcterms:created>
  <dc:creator>Sunbo1406720211</dc:creator>
  <cp:lastModifiedBy>Sunbo1406720211</cp:lastModifiedBy>
  <dcterms:modified xsi:type="dcterms:W3CDTF">2025-07-31T08:11:53Z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AD8F5105C7B64B58B7116D9E8BCC5E84_11</vt:lpwstr>
  </property>
  <property fmtid="{D5CDD505-2E9C-101B-9397-08002B2CF9AE}" pid="4" name="KSOTemplateDocerSaveRecord">
    <vt:lpwstr>eyJoZGlkIjoiMTYwNDQ5ZDE3ODMxZWY1MTRlOWQ2MmVjNzA3MGY3NDYiLCJ1c2VySWQiOiIxOTM2NTc3MSJ9</vt:lpwstr>
  </property>
</Properties>
</file>