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8900" w:type="dxa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8900"/>
      </w:tblGrid>
      <w:tr>
        <w:tblPrEx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454" w:hRule="exact"/>
        </w:trPr>
        <w:tc>
          <w:tcPr>
            <w:tcW w:w="8900" w:type="dxa"/>
            <w:vAlign w:val="top"/>
          </w:tcPr>
          <w:p>
            <w:pPr>
              <w:adjustRightInd w:val="0"/>
              <w:snapToGrid w:val="0"/>
              <w:spacing w:before="100" w:beforeAutospacing="1" w:after="100" w:afterAutospacing="1"/>
              <w:ind w:right="496" w:rightChars="157"/>
              <w:textAlignment w:val="bottom"/>
              <w:rPr>
                <w:rFonts w:hint="eastAsia" w:ascii="黑体" w:hAnsi="黑体" w:eastAsia="黑体"/>
              </w:rPr>
            </w:pPr>
          </w:p>
        </w:tc>
      </w:tr>
      <w:tr>
        <w:tblPrEx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361" w:hRule="exact"/>
        </w:trPr>
        <w:tc>
          <w:tcPr>
            <w:tcW w:w="8900" w:type="dxa"/>
            <w:vAlign w:val="center"/>
          </w:tcPr>
          <w:p>
            <w:pPr>
              <w:adjustRightInd w:val="0"/>
              <w:snapToGrid w:val="0"/>
              <w:spacing w:before="100" w:beforeAutospacing="1" w:after="100" w:afterAutospacing="1"/>
              <w:ind w:right="496" w:rightChars="157"/>
              <w:textAlignment w:val="bottom"/>
              <w:rPr>
                <w:rFonts w:eastAsia="黑体"/>
              </w:rPr>
            </w:pPr>
          </w:p>
        </w:tc>
      </w:tr>
      <w:tr>
        <w:tblPrEx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361" w:hRule="exact"/>
        </w:trPr>
        <w:tc>
          <w:tcPr>
            <w:tcW w:w="8900" w:type="dxa"/>
            <w:vAlign w:val="center"/>
          </w:tcPr>
          <w:p>
            <w:pPr>
              <w:snapToGrid w:val="0"/>
              <w:spacing w:before="100" w:beforeAutospacing="1" w:after="100" w:afterAutospacing="1"/>
              <w:jc w:val="distribute"/>
              <w:textAlignment w:val="bottom"/>
              <w:rPr>
                <w:rFonts w:hint="eastAsia" w:ascii="方正小标宋简体" w:eastAsia="方正小标宋简体"/>
                <w:b/>
                <w:bCs/>
                <w:w w:val="80"/>
                <w:sz w:val="84"/>
                <w:szCs w:val="84"/>
              </w:rPr>
            </w:pPr>
            <w:bookmarkStart w:id="0" w:name="RedHead"/>
            <w:r>
              <w:rPr>
                <w:rFonts w:hint="eastAsia" w:ascii="方正小标宋简体" w:eastAsia="方正小标宋简体"/>
                <w:b/>
                <w:bCs/>
                <w:snapToGrid w:val="0"/>
                <w:color w:val="FF0000"/>
                <w:w w:val="80"/>
                <w:kern w:val="0"/>
                <w:sz w:val="84"/>
                <w:szCs w:val="84"/>
              </w:rPr>
              <w:t>福建省医疗保障局文件</w:t>
            </w:r>
            <w:bookmarkEnd w:id="0"/>
          </w:p>
        </w:tc>
      </w:tr>
      <w:tr>
        <w:tblPrEx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191" w:hRule="exact"/>
        </w:trPr>
        <w:tc>
          <w:tcPr>
            <w:tcW w:w="8900" w:type="dxa"/>
            <w:vAlign w:val="bottom"/>
          </w:tcPr>
          <w:p>
            <w:pPr>
              <w:snapToGrid w:val="0"/>
              <w:spacing w:before="120"/>
              <w:ind w:right="339" w:firstLine="632" w:firstLineChars="200"/>
              <w:jc w:val="center"/>
              <w:textAlignment w:val="bottom"/>
              <w:rPr>
                <w:rFonts w:hint="eastAsia" w:ascii="仿宋" w:hAnsi="仿宋"/>
              </w:rPr>
            </w:pPr>
            <w:bookmarkStart w:id="1" w:name="REPE_dispatchnumber"/>
            <w:r>
              <w:rPr>
                <w:rFonts w:hint="default" w:ascii="仿宋" w:hAnsi="仿宋"/>
              </w:rPr>
              <w:t>闽医保〔2022〕12号</w:t>
            </w:r>
            <w:bookmarkEnd w:id="1"/>
          </w:p>
        </w:tc>
      </w:tr>
      <w:tr>
        <w:tblPrEx>
          <w:tblLayout w:type="fixed"/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8" w:hRule="exact"/>
        </w:trPr>
        <w:tc>
          <w:tcPr>
            <w:tcW w:w="8900" w:type="dxa"/>
            <w:vAlign w:val="bottom"/>
          </w:tcPr>
          <w:p>
            <w:pPr>
              <w:snapToGrid w:val="0"/>
              <w:spacing w:before="120"/>
              <w:ind w:right="339" w:firstLine="632" w:firstLineChars="200"/>
              <w:jc w:val="center"/>
              <w:textAlignment w:val="bottom"/>
              <w:rPr>
                <w:rFonts w:hint="eastAsia" w:ascii="仿宋" w:hAnsi="仿宋"/>
                <w:lang/>
              </w:rPr>
            </w:pPr>
            <w:r>
              <w:rPr>
                <w:rFonts w:hint="eastAsia" w:ascii="仿宋" w:hAnsi="仿宋"/>
                <w:lang/>
              </w:rPr>
              <mc:AlternateContent>
                <mc:Choice Requires="wps">
                  <w:drawing>
                    <wp:anchor distT="0" distB="0" distL="114300" distR="114300" simplePos="0" relativeHeight="251658240" behindDoc="1" locked="0" layoutInCell="1" allowOverlap="1">
                      <wp:simplePos x="0" y="0"/>
                      <wp:positionH relativeFrom="page">
                        <wp:align>center</wp:align>
                      </wp:positionH>
                      <wp:positionV relativeFrom="paragraph">
                        <wp:posOffset>71755</wp:posOffset>
                      </wp:positionV>
                      <wp:extent cx="5601335" cy="0"/>
                      <wp:effectExtent l="0" t="19050" r="6985" b="26670"/>
                      <wp:wrapTight wrapText="bothSides">
                        <wp:wrapPolygon>
                          <wp:start x="0" y="0"/>
                          <wp:lineTo x="0" y="3"/>
                          <wp:lineTo x="593" y="3"/>
                          <wp:lineTo x="593" y="0"/>
                          <wp:lineTo x="0" y="0"/>
                        </wp:wrapPolygon>
                      </wp:wrapTight>
                      <wp:docPr id="1" name="直线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01335" cy="0"/>
                              </a:xfrm>
                              <a:prstGeom prst="line">
                                <a:avLst/>
                              </a:prstGeom>
                              <a:ln w="38100" cap="flat" cmpd="sng">
                                <a:solidFill>
                                  <a:srgbClr val="FF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线 5" o:spid="_x0000_s1026" o:spt="20" style="position:absolute;left:0pt;margin-top:5.65pt;height:0pt;width:441.05pt;mso-position-horizontal:center;mso-position-horizontal-relative:page;mso-wrap-distance-left:9pt;mso-wrap-distance-right:9pt;z-index:-251658240;mso-width-relative:page;mso-height-relative:page;" filled="f" stroked="t" coordsize="21600,21600" wrapcoords="0 0 0 3 593 3 593 0 0 0" o:gfxdata="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MWXizPXAAAABgEAAA8AAAAAAAAAAQAgAAAAIgAA&#10;AGRycy9kb3ducmV2LnhtbFBLAQIUABQAAAAIAIdO4kB3RIif0AEAAI4DAAAOAAAAAAAAAAEAIAAA&#10;ACYBAABkcnMvZTJvRG9jLnhtbFBLBQYAAAAABgAGAFkBAABoBQAAAAA=&#10;">
                      <v:fill on="f" focussize="0,0"/>
                      <v:stroke weight="3pt" color="#FF0000" joinstyle="round"/>
                      <v:imagedata o:title=""/>
                      <o:lock v:ext="edit" aspectratio="f"/>
                      <w10:wrap type="tight"/>
                    </v:line>
                  </w:pict>
                </mc:Fallback>
              </mc:AlternateContent>
            </w:r>
          </w:p>
        </w:tc>
      </w:tr>
    </w:tbl>
    <w:p>
      <w:pPr>
        <w:spacing w:line="400" w:lineRule="exact"/>
        <w:rPr>
          <w:rFonts w:hint="eastAsia" w:ascii="仿宋" w:hAnsi="仿宋"/>
        </w:rPr>
      </w:pPr>
    </w:p>
    <w:p>
      <w:pPr>
        <w:spacing w:line="400" w:lineRule="exact"/>
        <w:rPr>
          <w:rFonts w:hint="eastAsia" w:ascii="仿宋" w:hAnsi="仿宋"/>
        </w:rPr>
      </w:pPr>
    </w:p>
    <w:p>
      <w:pPr>
        <w:snapToGrid w:val="0"/>
        <w:spacing w:line="700" w:lineRule="exact"/>
        <w:jc w:val="center"/>
        <w:rPr>
          <w:rFonts w:hint="eastAsia" w:ascii="方正小标宋简体" w:hAnsi="仿宋" w:eastAsia="方正小标宋简体"/>
          <w:sz w:val="44"/>
          <w:szCs w:val="44"/>
          <w:lang w:eastAsia="zh-CN"/>
        </w:rPr>
      </w:pPr>
      <w:bookmarkStart w:id="2" w:name="dispatchname"/>
      <w:bookmarkStart w:id="5" w:name="_GoBack"/>
      <w:r>
        <w:rPr>
          <w:rFonts w:hint="eastAsia" w:ascii="方正小标宋简体" w:hAnsi="仿宋" w:eastAsia="方正小标宋简体"/>
          <w:sz w:val="44"/>
          <w:szCs w:val="44"/>
          <w:lang w:eastAsia="zh-CN"/>
        </w:rPr>
        <w:t>福建省医疗保障局关于印发福建省优化</w:t>
      </w:r>
    </w:p>
    <w:p>
      <w:pPr>
        <w:snapToGrid w:val="0"/>
        <w:spacing w:line="700" w:lineRule="exact"/>
        <w:jc w:val="center"/>
        <w:rPr>
          <w:rFonts w:hint="eastAsia" w:ascii="方正小标宋简体" w:hAnsi="仿宋" w:eastAsia="方正小标宋简体"/>
          <w:sz w:val="44"/>
          <w:szCs w:val="44"/>
        </w:rPr>
      </w:pPr>
      <w:r>
        <w:rPr>
          <w:rFonts w:hint="eastAsia" w:ascii="方正小标宋简体" w:hAnsi="仿宋" w:eastAsia="方正小标宋简体"/>
          <w:sz w:val="44"/>
          <w:szCs w:val="44"/>
          <w:lang w:eastAsia="zh-CN"/>
        </w:rPr>
        <w:t>医保领域便民服务十二条措施的通知</w:t>
      </w:r>
      <w:bookmarkEnd w:id="2"/>
    </w:p>
    <w:bookmarkEnd w:id="5"/>
    <w:p>
      <w:pPr>
        <w:spacing w:line="600" w:lineRule="exact"/>
        <w:rPr>
          <w:rFonts w:hint="eastAsia" w:ascii="仿宋" w:hAnsi="仿宋"/>
        </w:rPr>
      </w:pPr>
    </w:p>
    <w:p>
      <w:pPr>
        <w:spacing w:line="600" w:lineRule="exact"/>
        <w:rPr>
          <w:rFonts w:hint="eastAsia"/>
        </w:rPr>
      </w:pPr>
      <w:bookmarkStart w:id="3" w:name="maindelivery"/>
      <w:r>
        <w:rPr>
          <w:rFonts w:hint="eastAsia" w:ascii="仿宋" w:hAnsi="仿宋"/>
          <w:lang w:eastAsia="zh-CN"/>
        </w:rPr>
        <w:t>各市、县（区）人民政府，平潭综合实验区管委会，省直相关部门</w:t>
      </w:r>
      <w:bookmarkEnd w:id="3"/>
      <w:r>
        <w:rPr>
          <w:rFonts w:hint="eastAsia"/>
        </w:rPr>
        <w:t>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600" w:lineRule="exact"/>
        <w:ind w:firstLine="632" w:firstLineChars="200"/>
        <w:jc w:val="both"/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 w:bidi="ar-SA"/>
        </w:rPr>
      </w:pPr>
      <w:bookmarkStart w:id="4" w:name="MainBody"/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 w:bidi="ar-SA"/>
        </w:rPr>
        <w:t>为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 w:bidi="ar-SA"/>
        </w:rPr>
        <w:t>贯彻落实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 w:bidi="ar-SA"/>
        </w:rPr>
        <w:t>国家医保局《关于优化医保领域便民服务的意见》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 w:bidi="ar-SA"/>
        </w:rPr>
        <w:t>（医保发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 w:bidi="ar-SA"/>
        </w:rPr>
        <w:t>〔2021〕39号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 w:bidi="ar-SA"/>
        </w:rPr>
        <w:t>），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 w:bidi="ar-SA"/>
        </w:rPr>
        <w:t>经省政府同意，现将《福建省优化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 w:bidi="ar-SA"/>
        </w:rPr>
        <w:t>医保领域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 w:bidi="ar-SA"/>
        </w:rPr>
        <w:t>便民服务十二条措施》</w:t>
      </w:r>
      <w:r>
        <w:rPr>
          <w:rFonts w:hint="eastAsia" w:ascii="仿宋_GB2312" w:hAnsi="仿宋_GB2312" w:eastAsia="仿宋_GB2312" w:cs="仿宋_GB2312"/>
          <w:color w:val="000000"/>
          <w:sz w:val="31"/>
          <w:szCs w:val="31"/>
          <w:highlight w:val="none"/>
          <w:lang w:val="en-US" w:eastAsia="zh-CN"/>
        </w:rPr>
        <w:t>印发给你们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 w:bidi="ar-SA"/>
        </w:rPr>
        <w:t>，请认真贯彻执行。</w:t>
      </w:r>
    </w:p>
    <w:tbl>
      <w:tblPr>
        <w:tblStyle w:val="8"/>
        <w:tblW w:w="906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0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9060" w:type="dxa"/>
            <w:vAlign w:val="top"/>
          </w:tcPr>
          <w:p>
            <w:pPr>
              <w:tabs>
                <w:tab w:val="left" w:pos="7305"/>
              </w:tabs>
              <w:wordWrap w:val="0"/>
              <w:ind w:right="482"/>
              <w:rPr>
                <w:rFonts w:hint="eastAsia" w:ascii="仿宋" w:hAnsi="仿宋" w:cs="仿宋"/>
              </w:rPr>
            </w:pPr>
          </w:p>
          <w:p>
            <w:pPr>
              <w:tabs>
                <w:tab w:val="left" w:pos="7305"/>
              </w:tabs>
              <w:wordWrap w:val="0"/>
              <w:ind w:right="482"/>
              <w:rPr>
                <w:rFonts w:hint="eastAsia" w:ascii="仿宋" w:hAnsi="仿宋" w:cs="仿宋"/>
              </w:rPr>
            </w:pPr>
          </w:p>
          <w:p>
            <w:pPr>
              <w:tabs>
                <w:tab w:val="left" w:pos="8820"/>
              </w:tabs>
              <w:jc w:val="center"/>
              <w:rPr>
                <w:rFonts w:hint="eastAsia" w:ascii="仿宋" w:hAnsi="仿宋" w:cs="仿宋"/>
              </w:rPr>
            </w:pPr>
            <w:r>
              <w:rPr>
                <w:rFonts w:hint="eastAsia" w:ascii="仿宋" w:hAnsi="仿宋" w:cs="仿宋"/>
              </w:rPr>
              <w:t xml:space="preserve">                     </w:t>
            </w:r>
            <w:r>
              <w:rPr>
                <w:rFonts w:hint="eastAsia" w:ascii="仿宋" w:hAnsi="仿宋" w:cs="仿宋"/>
                <w:lang w:val="en-US" w:eastAsia="zh-CN"/>
              </w:rPr>
              <w:t xml:space="preserve"> </w:t>
            </w:r>
            <w:r>
              <w:rPr>
                <w:rFonts w:hint="eastAsia" w:ascii="仿宋" w:hAnsi="仿宋" w:cs="仿宋"/>
              </w:rPr>
              <w:t xml:space="preserve">  福建省医疗保障局         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9060" w:type="dxa"/>
            <w:vAlign w:val="top"/>
          </w:tcPr>
          <w:p>
            <w:pPr>
              <w:wordWrap w:val="0"/>
              <w:jc w:val="right"/>
              <w:rPr>
                <w:rFonts w:hint="eastAsia" w:ascii="仿宋" w:hAnsi="仿宋" w:cs="仿宋"/>
              </w:rPr>
            </w:pPr>
            <w:r>
              <w:rPr>
                <w:rFonts w:hint="eastAsia" w:ascii="仿宋" w:hAnsi="仿宋" w:cs="仿宋"/>
                <w:lang w:val="en-US" w:eastAsia="zh-CN"/>
              </w:rPr>
              <w:t>2022</w:t>
            </w:r>
            <w:r>
              <w:rPr>
                <w:rFonts w:ascii="仿宋" w:hAnsi="仿宋" w:cs="仿宋"/>
              </w:rPr>
              <w:t>年</w:t>
            </w:r>
            <w:r>
              <w:rPr>
                <w:rFonts w:hint="eastAsia" w:ascii="仿宋" w:hAnsi="仿宋" w:cs="仿宋"/>
                <w:lang w:val="en-US" w:eastAsia="zh-CN"/>
              </w:rPr>
              <w:t>1</w:t>
            </w:r>
            <w:r>
              <w:rPr>
                <w:rFonts w:ascii="仿宋" w:hAnsi="仿宋" w:cs="仿宋"/>
              </w:rPr>
              <w:t>月</w:t>
            </w:r>
            <w:r>
              <w:rPr>
                <w:rFonts w:hint="eastAsia" w:ascii="仿宋" w:hAnsi="仿宋" w:cs="仿宋"/>
                <w:lang w:val="en-US" w:eastAsia="zh-CN"/>
              </w:rPr>
              <w:t>25</w:t>
            </w:r>
            <w:r>
              <w:rPr>
                <w:rFonts w:ascii="仿宋" w:hAnsi="仿宋" w:cs="仿宋"/>
              </w:rPr>
              <w:t>日</w:t>
            </w:r>
            <w:r>
              <w:rPr>
                <w:rFonts w:hint="eastAsia" w:ascii="仿宋" w:hAnsi="仿宋" w:cs="仿宋"/>
              </w:rPr>
              <w:t xml:space="preserve">        </w:t>
            </w:r>
          </w:p>
        </w:tc>
      </w:tr>
    </w:tbl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40" w:lineRule="auto"/>
        <w:ind w:firstLine="0" w:firstLineChars="0"/>
        <w:jc w:val="center"/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 w:bidi="ar-SA"/>
        </w:rPr>
      </w:pPr>
      <w:r>
        <w:rPr>
          <w:rFonts w:hint="eastAsia" w:ascii="方正小标宋简体" w:hAnsi="仿宋" w:eastAsia="方正小标宋简体"/>
          <w:sz w:val="44"/>
          <w:szCs w:val="44"/>
          <w:lang w:eastAsia="zh-CN"/>
        </w:rPr>
        <w:t>福建省优化医保领域便民服务十二条措施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606" w:lineRule="exact"/>
        <w:ind w:firstLine="632" w:firstLineChars="200"/>
        <w:jc w:val="both"/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 w:bidi="ar-SA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96" w:lineRule="exact"/>
        <w:ind w:firstLine="632" w:firstLineChars="200"/>
        <w:jc w:val="both"/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 w:bidi="ar-SA"/>
        </w:rPr>
        <w:t>为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 w:bidi="ar-SA"/>
        </w:rPr>
        <w:t>贯彻落实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 w:bidi="ar-SA"/>
        </w:rPr>
        <w:t>国家医保局《关于优化医保领域便民服务的意见》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 w:bidi="ar-SA"/>
        </w:rPr>
        <w:t>（医保发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 w:bidi="ar-SA"/>
        </w:rPr>
        <w:t>〔2021〕39号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 w:bidi="ar-SA"/>
        </w:rPr>
        <w:t>），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lang w:val="en-US" w:eastAsia="zh-CN" w:bidi="ar-SA"/>
        </w:rPr>
        <w:t>进一步推进我省医保领域“放管服”改革，提升我省医保服务水平，现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 w:bidi="ar-SA"/>
        </w:rPr>
        <w:t>制定如下措施。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96" w:lineRule="exact"/>
        <w:ind w:firstLine="632" w:firstLineChars="200"/>
        <w:jc w:val="both"/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 w:bidi="ar"/>
        </w:rPr>
        <w:t>一、</w:t>
      </w:r>
      <w:r>
        <w:rPr>
          <w:rFonts w:hint="eastAsia" w:ascii="黑体" w:hAnsi="黑体" w:eastAsia="黑体" w:cs="黑体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 w:bidi="ar-SA"/>
        </w:rPr>
        <w:t>完善医保经办管理服务体系。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2022年底前，所有乡镇（街道）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便民服务中心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应明示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医保服务岗位，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配备医保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服务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专兼职工作人员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；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在村（社区）工作人员中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安排人员兼任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医保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协理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员，负责基本医保政策的宣传解答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等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96" w:lineRule="exact"/>
        <w:ind w:firstLine="632" w:firstLineChars="200"/>
        <w:jc w:val="both"/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  <w:t>责任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单位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  <w:t>：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各设区市人民政府、平潭综合实验区管委会，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  <w:t>省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医保局、省委编办</w:t>
      </w:r>
      <w:r>
        <w:rPr>
          <w:rFonts w:hint="eastAsia" w:ascii="楷体_GB2312" w:hAnsi="楷体_GB2312" w:eastAsia="楷体_GB2312" w:cs="楷体_GB2312"/>
          <w:bCs/>
          <w:color w:val="auto"/>
          <w:u w:val="none"/>
          <w:lang w:eastAsia="zh-CN"/>
        </w:rPr>
        <w:t>（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以下任务均需各设区市人民政府和平潭综合实验区管委会落实，不再列出</w:t>
      </w:r>
      <w:r>
        <w:rPr>
          <w:rFonts w:hint="eastAsia" w:ascii="楷体_GB2312" w:hAnsi="楷体_GB2312" w:eastAsia="楷体_GB2312" w:cs="楷体_GB2312"/>
          <w:bCs/>
          <w:color w:val="auto"/>
          <w:u w:val="none"/>
          <w:lang w:eastAsia="zh-CN"/>
        </w:rPr>
        <w:t>）</w:t>
      </w:r>
    </w:p>
    <w:p>
      <w:pPr>
        <w:keepNext w:val="0"/>
        <w:keepLines w:val="0"/>
        <w:pageBreakBefore w:val="0"/>
        <w:suppressAutoHyphens/>
        <w:kinsoku/>
        <w:wordWrap/>
        <w:overflowPunct/>
        <w:topLinePunct w:val="0"/>
        <w:autoSpaceDE/>
        <w:autoSpaceDN/>
        <w:bidi w:val="0"/>
        <w:adjustRightInd/>
        <w:snapToGrid w:val="0"/>
        <w:spacing w:line="596" w:lineRule="exact"/>
        <w:ind w:firstLine="632" w:firstLineChars="200"/>
        <w:textAlignment w:val="baseline"/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</w:pPr>
      <w:r>
        <w:rPr>
          <w:rFonts w:hint="eastAsia" w:ascii="黑体" w:hAnsi="黑体" w:eastAsia="黑体" w:cs="黑体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 w:bidi="ar"/>
        </w:rPr>
        <w:t>二、</w:t>
      </w:r>
      <w:r>
        <w:rPr>
          <w:rFonts w:hint="eastAsia" w:ascii="黑体" w:hAnsi="黑体" w:eastAsia="黑体" w:cs="黑体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 w:bidi="ar-SA"/>
        </w:rPr>
        <w:t>下放部分医保经办服务业务。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2022年底前，将参保登记缴费、信息查询及变更、异地就医备案、零星（手工）报销初审等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基础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业务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下放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乡镇（街道）由医保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服务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专兼职人员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办理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，鼓励有条件的统筹地区充分发挥村（社区）医保</w:t>
      </w:r>
      <w:r>
        <w:rPr>
          <w:rFonts w:hint="eastAsia" w:ascii="仿宋_GB2312" w:hAnsi="仿宋_GB2312" w:eastAsia="仿宋_GB2312" w:cs="仿宋_GB2312"/>
          <w:b w:val="0"/>
          <w:bCs w:val="0"/>
          <w:strike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协理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员的作用，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办理医保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基础业务。</w:t>
      </w:r>
    </w:p>
    <w:p>
      <w:pPr>
        <w:keepNext w:val="0"/>
        <w:keepLines w:val="0"/>
        <w:pageBreakBefore w:val="0"/>
        <w:widowControl/>
        <w:suppressAutoHyphens/>
        <w:kinsoku/>
        <w:wordWrap/>
        <w:overflowPunct/>
        <w:topLinePunct w:val="0"/>
        <w:autoSpaceDE/>
        <w:autoSpaceDN/>
        <w:bidi w:val="0"/>
        <w:adjustRightInd/>
        <w:snapToGrid w:val="0"/>
        <w:spacing w:line="596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责任单位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  <w:t>：省医保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局</w:t>
      </w:r>
    </w:p>
    <w:p>
      <w:pPr>
        <w:keepNext w:val="0"/>
        <w:keepLines w:val="0"/>
        <w:pageBreakBefore w:val="0"/>
        <w:suppressAutoHyphens/>
        <w:kinsoku/>
        <w:wordWrap/>
        <w:overflowPunct/>
        <w:topLinePunct w:val="0"/>
        <w:autoSpaceDE/>
        <w:autoSpaceDN/>
        <w:bidi w:val="0"/>
        <w:adjustRightInd/>
        <w:snapToGrid w:val="0"/>
        <w:spacing w:line="596" w:lineRule="exact"/>
        <w:ind w:firstLine="632" w:firstLineChars="200"/>
        <w:textAlignment w:val="baseline"/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</w:pPr>
      <w:r>
        <w:rPr>
          <w:rFonts w:hint="eastAsia" w:ascii="黑体" w:hAnsi="黑体" w:eastAsia="黑体" w:cs="黑体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 w:bidi="ar"/>
        </w:rPr>
        <w:t>三、</w:t>
      </w:r>
      <w:r>
        <w:rPr>
          <w:rFonts w:hint="eastAsia" w:ascii="黑体" w:hAnsi="黑体" w:eastAsia="黑体" w:cs="黑体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 w:bidi="ar-SA"/>
        </w:rPr>
        <w:t>推进医保服务标准化规范化。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落实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全国医保经办服务“六统一”及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全省医保经办服务“五级十五同”，统一医保政务服务事项和办事指南，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并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适时调整更新。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全省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医保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政务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服务热线整体并入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各地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12345热线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加强</w:t>
      </w:r>
      <w:r>
        <w:rPr>
          <w:rFonts w:hint="eastAsia" w:ascii="仿宋_GB2312" w:hAnsi="仿宋_GB2312" w:eastAsia="仿宋_GB2312" w:cs="仿宋_GB2312"/>
          <w:b w:val="0"/>
          <w:bCs w:val="0"/>
          <w:strike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医保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知识库建设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。加强医保经办服务窗口标准化建设，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/>
        </w:rPr>
        <w:t>2022年底前实现全省县区以上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医保经办服务标准化窗口全覆盖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。</w:t>
      </w:r>
    </w:p>
    <w:p>
      <w:pPr>
        <w:keepNext w:val="0"/>
        <w:keepLines w:val="0"/>
        <w:pageBreakBefore w:val="0"/>
        <w:widowControl/>
        <w:suppressAutoHyphens/>
        <w:kinsoku/>
        <w:wordWrap/>
        <w:overflowPunct/>
        <w:topLinePunct w:val="0"/>
        <w:autoSpaceDE/>
        <w:autoSpaceDN/>
        <w:bidi w:val="0"/>
        <w:adjustRightInd/>
        <w:snapToGrid w:val="0"/>
        <w:spacing w:line="596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责任单位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  <w:t>：省医保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局</w:t>
      </w:r>
    </w:p>
    <w:p>
      <w:pPr>
        <w:keepNext w:val="0"/>
        <w:keepLines w:val="0"/>
        <w:pageBreakBefore w:val="0"/>
        <w:suppressAutoHyphens/>
        <w:kinsoku/>
        <w:wordWrap/>
        <w:overflowPunct/>
        <w:topLinePunct w:val="0"/>
        <w:autoSpaceDE/>
        <w:autoSpaceDN/>
        <w:bidi w:val="0"/>
        <w:adjustRightInd/>
        <w:snapToGrid w:val="0"/>
        <w:spacing w:line="596" w:lineRule="exact"/>
        <w:ind w:firstLine="632" w:firstLineChars="200"/>
        <w:textAlignment w:val="baseline"/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</w:pPr>
      <w:r>
        <w:rPr>
          <w:rFonts w:hint="eastAsia" w:ascii="黑体" w:hAnsi="黑体" w:eastAsia="黑体" w:cs="黑体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 w:bidi="ar-SA"/>
        </w:rPr>
        <w:t>四、推行医保经办服务就近办理。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增设医保服务渠道，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规范县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区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以上公立医院医保服务站建设、管理和服务标准，通过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政府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购买、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协商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等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方式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扩大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在其他定点医疗机构建立医保服务站。对接政务服务自助系统，上线标准化医保便民事项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建设定点医药机构各类自助服务终端、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综合服务终端</w:t>
      </w:r>
      <w:r>
        <w:rPr>
          <w:rFonts w:hint="eastAsia" w:ascii="仿宋_GB2312" w:hAnsi="仿宋_GB2312" w:eastAsia="仿宋_GB2312" w:cs="仿宋_GB2312"/>
          <w:b w:val="0"/>
          <w:bCs w:val="0"/>
          <w:strike w:val="0"/>
          <w:color w:val="000000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服务模块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，持续推进适老化改造，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提供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终端代人办、带人办服务。</w:t>
      </w:r>
    </w:p>
    <w:p>
      <w:pPr>
        <w:keepNext w:val="0"/>
        <w:keepLines w:val="0"/>
        <w:pageBreakBefore w:val="0"/>
        <w:widowControl/>
        <w:suppressAutoHyphens/>
        <w:kinsoku/>
        <w:wordWrap/>
        <w:overflowPunct/>
        <w:topLinePunct w:val="0"/>
        <w:autoSpaceDE/>
        <w:autoSpaceDN/>
        <w:bidi w:val="0"/>
        <w:adjustRightInd/>
        <w:snapToGrid w:val="0"/>
        <w:spacing w:line="596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责任单位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  <w:t>：省医保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局、省卫健委</w:t>
      </w:r>
    </w:p>
    <w:p>
      <w:pPr>
        <w:keepNext w:val="0"/>
        <w:keepLines w:val="0"/>
        <w:pageBreakBefore w:val="0"/>
        <w:suppressAutoHyphens/>
        <w:kinsoku/>
        <w:wordWrap/>
        <w:overflowPunct/>
        <w:topLinePunct w:val="0"/>
        <w:autoSpaceDE/>
        <w:autoSpaceDN/>
        <w:bidi w:val="0"/>
        <w:adjustRightInd/>
        <w:snapToGrid w:val="0"/>
        <w:spacing w:line="596" w:lineRule="exact"/>
        <w:ind w:firstLine="632" w:firstLineChars="200"/>
        <w:textAlignment w:val="baseline"/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五、</w:t>
      </w:r>
      <w:r>
        <w:rPr>
          <w:rFonts w:hint="eastAsia" w:ascii="黑体" w:hAnsi="黑体" w:eastAsia="黑体" w:cs="黑体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 w:bidi="ar-SA"/>
        </w:rPr>
        <w:t>推进医保经办服务网上办理。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依托全国一体化政务服务平台，通过省网上办事大厅、闽政通APP、福建医保微信公众号等公共服务平台，实现医保经办服务“掌上办”“网上办”“一网通办”“跨省通办”。在保护参保人员基本信息和数据安全的前提下，探索实现“视频办”。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将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全省通办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的医保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政务服务高频事项规范对接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到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省网上办事大厅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。加强省网上办事大厅地市医保分厅建设，依托各地政务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/>
        </w:rPr>
        <w:t>APP等拓展服务渠道。</w:t>
      </w:r>
    </w:p>
    <w:p>
      <w:pPr>
        <w:keepNext w:val="0"/>
        <w:keepLines w:val="0"/>
        <w:pageBreakBefore w:val="0"/>
        <w:widowControl/>
        <w:suppressAutoHyphens/>
        <w:kinsoku/>
        <w:wordWrap/>
        <w:overflowPunct/>
        <w:topLinePunct w:val="0"/>
        <w:autoSpaceDE/>
        <w:autoSpaceDN/>
        <w:bidi w:val="0"/>
        <w:adjustRightInd/>
        <w:snapToGrid w:val="0"/>
        <w:spacing w:line="596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责任单位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  <w:t>：省医保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局</w:t>
      </w:r>
    </w:p>
    <w:p>
      <w:pPr>
        <w:keepNext w:val="0"/>
        <w:keepLines w:val="0"/>
        <w:pageBreakBefore w:val="0"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 w:val="0"/>
        <w:spacing w:line="596" w:lineRule="exact"/>
        <w:ind w:firstLine="632" w:firstLineChars="200"/>
        <w:textAlignment w:val="baseline"/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</w:pPr>
      <w:r>
        <w:rPr>
          <w:rFonts w:hint="eastAsia" w:ascii="黑体" w:hAnsi="黑体" w:eastAsia="黑体" w:cs="黑体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 w:bidi="ar-SA"/>
        </w:rPr>
        <w:t>六、深化医保服务“最多跑一趟”改革。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/>
        </w:rPr>
        <w:t>2022年底前，推行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医保经办服务窗口“综合柜员制”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，鼓励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基层医保经办服务进驻政务服务综合大厅。加强与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人社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、税务、银行等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单位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业务衔接，方便群众参保登记缴费“一站式”联办。有条件的地区探索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基本医疗保险、大病保险、医疗救助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与商业保险业务联通。全面推行证明事项告知承诺制，持续“减证便民”。</w:t>
      </w:r>
    </w:p>
    <w:p>
      <w:pPr>
        <w:keepNext w:val="0"/>
        <w:keepLines w:val="0"/>
        <w:pageBreakBefore w:val="0"/>
        <w:widowControl/>
        <w:suppressAutoHyphens/>
        <w:kinsoku/>
        <w:wordWrap/>
        <w:overflowPunct/>
        <w:topLinePunct w:val="0"/>
        <w:autoSpaceDE/>
        <w:autoSpaceDN/>
        <w:bidi w:val="0"/>
        <w:adjustRightInd/>
        <w:snapToGrid w:val="0"/>
        <w:spacing w:line="596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责任单位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  <w:t>：省医保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局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  <w:t>、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省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  <w:t>人社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厅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  <w:t>、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省卫健委、省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  <w:t>税务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局、厦门市税务局、福建银保监局、厦门银保监局</w:t>
      </w:r>
    </w:p>
    <w:p>
      <w:pPr>
        <w:keepNext w:val="0"/>
        <w:keepLines w:val="0"/>
        <w:pageBreakBefore w:val="0"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 w:val="0"/>
        <w:spacing w:line="596" w:lineRule="exact"/>
        <w:ind w:firstLine="632" w:firstLineChars="200"/>
        <w:textAlignment w:val="baseline"/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</w:pPr>
      <w:r>
        <w:rPr>
          <w:rFonts w:hint="eastAsia" w:ascii="黑体" w:hAnsi="黑体" w:eastAsia="黑体" w:cs="黑体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 w:bidi="ar-SA"/>
        </w:rPr>
        <w:t>七、推进“一件事”集成套餐服务改革。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门诊慢特病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病种待遇认定，城乡居民医疗保险、大病保险、医疗救助“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/>
        </w:rPr>
        <w:t>3+N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”报销，以及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出生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、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企业开办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、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退役士兵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、企业职工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退</w:t>
      </w:r>
      <w:r>
        <w:rPr>
          <w:rFonts w:hint="eastAsia" w:ascii="仿宋_GB2312" w:hAnsi="仿宋_GB2312" w:eastAsia="仿宋_GB2312" w:cs="仿宋_GB2312"/>
          <w:b w:val="0"/>
          <w:bCs w:val="0"/>
          <w:color w:val="000000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休等</w:t>
      </w:r>
      <w:r>
        <w:rPr>
          <w:rFonts w:hint="eastAsia" w:ascii="仿宋_GB2312" w:hAnsi="仿宋_GB2312" w:cs="仿宋_GB2312"/>
          <w:b w:val="0"/>
          <w:bCs w:val="0"/>
          <w:color w:val="000000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事项，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实行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“一件事”套餐，实现一次告知、一表申请、一窗办成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。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进一步优化已落地“一件事”套餐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的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线上线下服务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 w:val="0"/>
        <w:spacing w:line="596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kern w:val="2"/>
          <w:sz w:val="32"/>
          <w:szCs w:val="32"/>
          <w:highlight w:val="none"/>
          <w:u w:val="none"/>
          <w:shd w:val="clear" w:color="auto" w:fill="FFFFFF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责任单位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  <w:t>：省医保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局、省审改办，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  <w:t>各相关部门</w:t>
      </w:r>
    </w:p>
    <w:p>
      <w:pPr>
        <w:keepNext w:val="0"/>
        <w:keepLines w:val="0"/>
        <w:pageBreakBefore w:val="0"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 w:val="0"/>
        <w:spacing w:line="596" w:lineRule="exact"/>
        <w:ind w:firstLine="632" w:firstLineChars="200"/>
        <w:textAlignment w:val="baseline"/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</w:pPr>
      <w:r>
        <w:rPr>
          <w:rFonts w:hint="eastAsia" w:ascii="黑体" w:hAnsi="黑体" w:eastAsia="黑体" w:cs="黑体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 w:bidi="ar-SA"/>
        </w:rPr>
        <w:t>八、优化医保关系转移接续和异地就医结算。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完善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基本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医保关系转移接续政策，简化材料寄送，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/>
        </w:rPr>
        <w:t>2022年底前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实现省内职工医保关系无纸化转移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、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职工医保关系和个人账户同步转移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；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对接全国一体化政务服务平台，实现转移接续“跨省通办”，缩短经办时限。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扩大跨省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异地就医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直接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结算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范围，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凡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已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开通跨省异地就医住院结算的，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同步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开通异地就医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普通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门诊结算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。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/>
        </w:rPr>
        <w:t>2022年底前将跨省异地就医定点医疗机构范围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扩大到流动人口较多的乡镇、工业区、开发区</w:t>
      </w:r>
      <w:r>
        <w:rPr>
          <w:rFonts w:hint="eastAsia" w:ascii="仿宋_GB2312" w:hAnsi="仿宋_GB2312" w:eastAsia="仿宋_GB2312" w:cs="仿宋_GB2312"/>
          <w:b w:val="0"/>
          <w:bCs w:val="0"/>
          <w:strike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所在地</w:t>
      </w:r>
      <w:r>
        <w:rPr>
          <w:rFonts w:hint="eastAsia" w:ascii="仿宋_GB2312" w:hAnsi="仿宋_GB2312" w:eastAsia="仿宋_GB2312" w:cs="仿宋_GB2312"/>
          <w:b w:val="0"/>
          <w:bCs w:val="0"/>
          <w:strike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定点医疗机构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 w:val="0"/>
        <w:spacing w:line="596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责任单位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  <w:t>：省医保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局</w:t>
      </w:r>
    </w:p>
    <w:p>
      <w:pPr>
        <w:keepNext w:val="0"/>
        <w:keepLines w:val="0"/>
        <w:pageBreakBefore w:val="0"/>
        <w:suppressAutoHyphens/>
        <w:kinsoku/>
        <w:wordWrap/>
        <w:overflowPunct/>
        <w:topLinePunct w:val="0"/>
        <w:autoSpaceDE/>
        <w:autoSpaceDN/>
        <w:bidi w:val="0"/>
        <w:adjustRightInd/>
        <w:snapToGrid w:val="0"/>
        <w:spacing w:line="596" w:lineRule="exact"/>
        <w:ind w:firstLine="632" w:firstLineChars="200"/>
        <w:textAlignment w:val="baseline"/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</w:pPr>
      <w:r>
        <w:rPr>
          <w:rFonts w:hint="eastAsia" w:ascii="黑体" w:hAnsi="黑体" w:eastAsia="黑体" w:cs="黑体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 w:bidi="ar-SA"/>
        </w:rPr>
        <w:t>九、优化定点医药机构协议管理。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公开医药机构申请医保定点的条件、材料和办理流程，落实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统一的协议管理经办服务操作规范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对社会办医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药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机构和公立机构一视同仁、平等对待。推广定点医药机构网上签约，进一步提高协议管理效率。加快推进全省统一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的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定点医药机构费用结算流程。科学制定监测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考核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指标，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规范定点医疗机构诊疗行为，杜绝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推诿患者、过度服务或服务不足等不规范行为。</w:t>
      </w:r>
    </w:p>
    <w:p>
      <w:pPr>
        <w:keepNext w:val="0"/>
        <w:keepLines w:val="0"/>
        <w:pageBreakBefore w:val="0"/>
        <w:widowControl/>
        <w:suppressAutoHyphens/>
        <w:kinsoku/>
        <w:wordWrap/>
        <w:overflowPunct/>
        <w:topLinePunct w:val="0"/>
        <w:autoSpaceDE/>
        <w:autoSpaceDN/>
        <w:bidi w:val="0"/>
        <w:adjustRightInd/>
        <w:snapToGrid w:val="0"/>
        <w:spacing w:line="596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责任单位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  <w:t>：省医保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局、省卫健委</w:t>
      </w:r>
    </w:p>
    <w:p>
      <w:pPr>
        <w:keepNext w:val="0"/>
        <w:keepLines w:val="0"/>
        <w:pageBreakBefore w:val="0"/>
        <w:widowControl/>
        <w:suppressAutoHyphens/>
        <w:kinsoku/>
        <w:wordWrap/>
        <w:overflowPunct/>
        <w:topLinePunct w:val="0"/>
        <w:autoSpaceDE/>
        <w:autoSpaceDN/>
        <w:bidi w:val="0"/>
        <w:adjustRightInd/>
        <w:snapToGrid w:val="0"/>
        <w:spacing w:line="596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</w:pPr>
      <w:r>
        <w:rPr>
          <w:rFonts w:hint="eastAsia" w:ascii="黑体" w:hAnsi="黑体" w:eastAsia="黑体" w:cs="黑体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 w:bidi="ar-SA"/>
        </w:rPr>
        <w:t>十、拓展医保电子凭证应用。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加快推进医保电子凭证激活和应用工作，建设全省统一的医保收银台，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支持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信用支付等新型支付方式，提供医保基金和自费费用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混合支付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能力。支持与“福建码”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等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协同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应用，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实现相关医保服务，依托闽政通和医保移动支付提供线上结算服务。</w:t>
      </w:r>
    </w:p>
    <w:p>
      <w:pPr>
        <w:keepNext w:val="0"/>
        <w:keepLines w:val="0"/>
        <w:pageBreakBefore w:val="0"/>
        <w:widowControl/>
        <w:suppressAutoHyphens/>
        <w:kinsoku/>
        <w:wordWrap/>
        <w:overflowPunct/>
        <w:topLinePunct w:val="0"/>
        <w:autoSpaceDE/>
        <w:autoSpaceDN/>
        <w:bidi w:val="0"/>
        <w:adjustRightInd/>
        <w:snapToGrid w:val="0"/>
        <w:spacing w:line="596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责任单位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  <w:t>：省医保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局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  <w:t>、省数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字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  <w:t>办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、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  <w:t>省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经济信息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  <w:t>中心</w:t>
      </w:r>
    </w:p>
    <w:p>
      <w:pPr>
        <w:keepNext w:val="0"/>
        <w:keepLines w:val="0"/>
        <w:pageBreakBefore w:val="0"/>
        <w:widowControl/>
        <w:suppressAutoHyphens/>
        <w:kinsoku/>
        <w:wordWrap/>
        <w:overflowPunct/>
        <w:topLinePunct w:val="0"/>
        <w:autoSpaceDE/>
        <w:autoSpaceDN/>
        <w:bidi w:val="0"/>
        <w:adjustRightInd/>
        <w:snapToGrid w:val="0"/>
        <w:spacing w:line="596" w:lineRule="exact"/>
        <w:ind w:firstLine="632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</w:pPr>
      <w:r>
        <w:rPr>
          <w:rFonts w:hint="eastAsia" w:ascii="黑体" w:hAnsi="黑体" w:eastAsia="黑体" w:cs="黑体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 w:bidi="ar-SA"/>
        </w:rPr>
        <w:t>十一、打击医保领域欺诈骗保行为。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 w:bidi="ar-SA"/>
        </w:rPr>
        <w:t>研究制定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 w:bidi="ar-SA"/>
        </w:rPr>
        <w:t>规范我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/>
        </w:rPr>
        <w:t>省医保领域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/>
        </w:rPr>
        <w:t>行政处罚裁量权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/>
        </w:rPr>
        <w:t>的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/>
        </w:rPr>
        <w:t>办法，修订《福建省医疗保障行政处罚程序暂行规定》等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/>
        </w:rPr>
        <w:t>文件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/>
        </w:rPr>
        <w:t>，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/>
        </w:rPr>
        <w:t>依法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 w:bidi="ar-SA"/>
        </w:rPr>
        <w:t>严厉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/>
        </w:rPr>
        <w:t>打击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 w:bidi="ar-SA"/>
        </w:rPr>
        <w:t>欺诈骗保行为。落地应用医保智能监管子系统，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/>
        </w:rPr>
        <w:t>实现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/>
        </w:rPr>
        <w:t>与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/>
        </w:rPr>
        <w:t>医院信息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/>
        </w:rPr>
        <w:t>系统全面对接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 w:bidi="ar-SA"/>
        </w:rPr>
        <w:t>。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 w:bidi="ar-SA"/>
        </w:rPr>
        <w:t>强化参保人员信息比对和动态维护，实现退休、死亡和服刑人员信息及时变更。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加强部门联合执法，综合运用协议、行政、司法等手段，严肃追究欺诈骗保单位和个人责任。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 w:val="0"/>
        <w:spacing w:line="596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责任单位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  <w:t>：省医保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局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  <w:t>、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省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  <w:t>卫健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委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  <w:t>、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省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  <w:t>公安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厅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  <w:t>、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省民政厅、省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  <w:t>司法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厅、省人社厅、省监狱管理局、省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  <w:t>药监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局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596" w:lineRule="exact"/>
        <w:ind w:firstLine="632" w:firstLineChars="200"/>
        <w:jc w:val="both"/>
        <w:textAlignment w:val="baseline"/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 w:bidi="ar-SA"/>
        </w:rPr>
      </w:pPr>
      <w:r>
        <w:rPr>
          <w:rFonts w:hint="eastAsia" w:ascii="黑体" w:hAnsi="黑体" w:eastAsia="黑体" w:cs="黑体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val="en-US" w:eastAsia="zh-CN" w:bidi="ar-SA"/>
        </w:rPr>
        <w:t>十二、强化医保数据信息支撑。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分期建设省级医保信息平台，建设省级医保电子凭证中心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、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移动支付中心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、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处方流转中心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的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医保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云服务支撑体系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以及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全省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医保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工作端服务信息系统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。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在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定点医药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机构落地应用医保信息业务编码标准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建立常态化编码动态维护机制，实现医保系统各业务环节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统一编码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。建立医保部门与财政、税务、医院、保险</w:t>
      </w:r>
      <w:r>
        <w:rPr>
          <w:rFonts w:hint="eastAsia" w:ascii="仿宋_GB2312" w:hAnsi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等有关单位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数据共享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  <w:lang w:eastAsia="zh-CN"/>
        </w:rPr>
        <w:t>应用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pacing w:val="0"/>
          <w:kern w:val="0"/>
          <w:sz w:val="32"/>
          <w:szCs w:val="32"/>
          <w:highlight w:val="none"/>
          <w:u w:val="none"/>
          <w:shd w:val="clear" w:color="auto" w:fill="FFFFFF"/>
        </w:rPr>
        <w:t>机制。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 w:val="0"/>
        <w:spacing w:line="596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  <w:sectPr>
          <w:headerReference r:id="rId3" w:type="default"/>
          <w:footerReference r:id="rId5" w:type="default"/>
          <w:headerReference r:id="rId4" w:type="even"/>
          <w:footerReference r:id="rId6" w:type="even"/>
          <w:pgSz w:w="11906" w:h="16838"/>
          <w:pgMar w:top="2098" w:right="1474" w:bottom="1984" w:left="1588" w:header="851" w:footer="992" w:gutter="0"/>
          <w:pgNumType w:fmt="numberInDash"/>
          <w:cols w:space="720" w:num="1"/>
          <w:docGrid w:type="linesAndChars" w:linePitch="587" w:charSpace="-849"/>
        </w:sectPr>
      </w:pP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责任单位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  <w:t>：省医保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局、省卫健委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val="en-US" w:eastAsia="zh-CN"/>
        </w:rPr>
        <w:t>、省财政厅、省税务局、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省数字办、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  <w:t>省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经济信息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  <w:t>中心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  <w:lang w:eastAsia="zh-CN"/>
        </w:rPr>
        <w:t>，</w:t>
      </w:r>
      <w:r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  <w:t>各相关部门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 w:val="0"/>
        <w:spacing w:line="596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 w:val="0"/>
        <w:spacing w:line="596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AutoHyphens/>
        <w:kinsoku/>
        <w:wordWrap/>
        <w:overflowPunct/>
        <w:topLinePunct w:val="0"/>
        <w:autoSpaceDE/>
        <w:autoSpaceDN/>
        <w:bidi w:val="0"/>
        <w:adjustRightInd/>
        <w:snapToGrid w:val="0"/>
        <w:spacing w:line="596" w:lineRule="exact"/>
        <w:ind w:firstLine="632" w:firstLineChars="200"/>
        <w:textAlignment w:val="auto"/>
        <w:rPr>
          <w:rFonts w:hint="eastAsia" w:ascii="楷体_GB2312" w:hAnsi="楷体_GB2312" w:eastAsia="楷体_GB2312" w:cs="楷体_GB2312"/>
          <w:b w:val="0"/>
          <w:bCs w:val="0"/>
          <w:color w:val="auto"/>
          <w:spacing w:val="0"/>
          <w:sz w:val="32"/>
          <w:szCs w:val="32"/>
          <w:highlight w:val="none"/>
          <w:u w:val="none"/>
          <w:shd w:val="clear" w:color="auto" w:fill="FFFFFF"/>
        </w:rPr>
      </w:pPr>
    </w:p>
    <w:bookmarkEnd w:id="4"/>
    <w:p>
      <w:pPr>
        <w:rPr>
          <w:rFonts w:hint="eastAsia" w:ascii="仿宋" w:hAnsi="仿宋" w:eastAsia="仿宋" w:cs="仿宋"/>
          <w:lang w:val="en-US" w:eastAsia="zh-CN"/>
        </w:rPr>
      </w:pPr>
    </w:p>
    <w:p>
      <w:pPr>
        <w:rPr>
          <w:rFonts w:hint="eastAsia" w:ascii="仿宋" w:hAnsi="仿宋" w:cs="仿宋"/>
        </w:rPr>
      </w:pPr>
    </w:p>
    <w:p>
      <w:pPr>
        <w:pStyle w:val="2"/>
        <w:rPr>
          <w:rFonts w:hint="eastAsia" w:ascii="仿宋" w:hAnsi="仿宋"/>
        </w:rPr>
      </w:pPr>
    </w:p>
    <w:p>
      <w:pPr>
        <w:pStyle w:val="2"/>
        <w:rPr>
          <w:rFonts w:hint="eastAsia" w:ascii="仿宋" w:hAnsi="仿宋"/>
        </w:rPr>
      </w:pPr>
    </w:p>
    <w:tbl>
      <w:tblPr>
        <w:tblStyle w:val="8"/>
        <w:tblpPr w:leftFromText="180" w:rightFromText="180" w:horzAnchor="margin" w:tblpXSpec="center" w:tblpYSpec="bottom"/>
        <w:tblOverlap w:val="never"/>
        <w:tblW w:w="8642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1"/>
        <w:gridCol w:w="3740"/>
        <w:gridCol w:w="3821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8642" w:type="dxa"/>
            <w:gridSpan w:val="3"/>
            <w:tcBorders>
              <w:top w:val="nil"/>
              <w:left w:val="nil"/>
              <w:bottom w:val="single" w:color="auto" w:sz="12" w:space="0"/>
              <w:right w:val="nil"/>
            </w:tcBorders>
            <w:vAlign w:val="top"/>
          </w:tcPr>
          <w:p>
            <w:pPr>
              <w:spacing w:after="100" w:afterAutospacing="1" w:line="460" w:lineRule="exact"/>
              <w:ind w:right="205" w:rightChars="65" w:firstLine="276" w:firstLineChars="100"/>
              <w:textAlignment w:val="bottom"/>
              <w:rPr>
                <w:rFonts w:hint="eastAsia" w:ascii="仿宋" w:hAnsi="仿宋" w:cs="仿宋_GB2312"/>
                <w:sz w:val="28"/>
                <w:szCs w:val="28"/>
              </w:rPr>
            </w:pPr>
            <w:r>
              <w:rPr>
                <w:rFonts w:hint="eastAsia" w:ascii="仿宋" w:hAnsi="仿宋" w:cs="仿宋_GB2312"/>
                <w:sz w:val="28"/>
                <w:szCs w:val="28"/>
              </w:rPr>
              <w:t>信息公开类型：</w:t>
            </w:r>
            <w:r>
              <w:rPr>
                <w:rFonts w:hint="eastAsia" w:ascii="仿宋" w:hAnsi="仿宋" w:cs="仿宋_GB2312"/>
                <w:sz w:val="28"/>
                <w:szCs w:val="28"/>
                <w:lang w:eastAsia="zh-CN"/>
              </w:rPr>
              <w:t>主动公开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1081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top"/>
          </w:tcPr>
          <w:p>
            <w:pPr>
              <w:spacing w:after="100" w:afterAutospacing="1" w:line="460" w:lineRule="exact"/>
              <w:ind w:firstLine="276" w:firstLineChars="100"/>
              <w:textAlignment w:val="bottom"/>
              <w:rPr>
                <w:rFonts w:ascii="仿宋" w:hAnsi="仿宋"/>
                <w:sz w:val="28"/>
                <w:szCs w:val="28"/>
              </w:rPr>
            </w:pPr>
            <w:r>
              <w:rPr>
                <w:rFonts w:hint="eastAsia" w:ascii="仿宋" w:hAnsi="仿宋" w:cs="仿宋_GB2312"/>
                <w:sz w:val="28"/>
                <w:szCs w:val="28"/>
              </w:rPr>
              <w:t>抄送：</w:t>
            </w:r>
          </w:p>
        </w:tc>
        <w:tc>
          <w:tcPr>
            <w:tcW w:w="7561" w:type="dxa"/>
            <w:gridSpan w:val="2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tcMar>
              <w:left w:w="57" w:type="dxa"/>
            </w:tcMar>
            <w:vAlign w:val="top"/>
          </w:tcPr>
          <w:p>
            <w:pPr>
              <w:spacing w:after="100" w:afterAutospacing="1" w:line="460" w:lineRule="exact"/>
              <w:ind w:right="205" w:rightChars="65"/>
              <w:textAlignment w:val="bottom"/>
              <w:rPr>
                <w:rFonts w:hint="eastAsia" w:ascii="仿宋" w:hAnsi="仿宋" w:eastAsia="仿宋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/>
                <w:sz w:val="28"/>
                <w:szCs w:val="28"/>
                <w:lang w:eastAsia="zh-CN"/>
              </w:rPr>
              <w:t>国家医疗保障局。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4821" w:type="dxa"/>
            <w:gridSpan w:val="2"/>
            <w:tcBorders>
              <w:top w:val="single" w:color="auto" w:sz="8" w:space="0"/>
              <w:left w:val="nil"/>
              <w:bottom w:val="single" w:color="auto" w:sz="12" w:space="0"/>
              <w:right w:val="nil"/>
            </w:tcBorders>
            <w:vAlign w:val="bottom"/>
          </w:tcPr>
          <w:p>
            <w:pPr>
              <w:spacing w:after="100" w:line="460" w:lineRule="exact"/>
              <w:ind w:right="205" w:rightChars="65" w:firstLine="276" w:firstLineChars="100"/>
              <w:rPr>
                <w:rFonts w:hint="eastAsia" w:ascii="仿宋" w:hAnsi="仿宋" w:eastAsia="仿宋"/>
                <w:sz w:val="28"/>
                <w:lang w:eastAsia="zh-CN"/>
              </w:rPr>
            </w:pPr>
            <w:r>
              <w:rPr>
                <w:rFonts w:hint="eastAsia" w:ascii="仿宋" w:hAnsi="仿宋" w:cs="仿宋_GB2312"/>
                <w:sz w:val="28"/>
              </w:rPr>
              <w:t>福建省医疗保障局</w:t>
            </w:r>
            <w:r>
              <w:rPr>
                <w:rFonts w:hint="eastAsia" w:ascii="仿宋" w:hAnsi="仿宋" w:cs="仿宋_GB2312"/>
                <w:sz w:val="28"/>
                <w:lang w:eastAsia="zh-CN"/>
              </w:rPr>
              <w:t>办公室</w:t>
            </w:r>
          </w:p>
        </w:tc>
        <w:tc>
          <w:tcPr>
            <w:tcW w:w="3821" w:type="dxa"/>
            <w:tcBorders>
              <w:top w:val="single" w:color="auto" w:sz="8" w:space="0"/>
              <w:left w:val="nil"/>
              <w:bottom w:val="single" w:color="auto" w:sz="12" w:space="0"/>
              <w:right w:val="nil"/>
            </w:tcBorders>
            <w:vAlign w:val="center"/>
          </w:tcPr>
          <w:p>
            <w:pPr>
              <w:wordWrap w:val="0"/>
              <w:spacing w:after="100" w:afterAutospacing="1" w:line="460" w:lineRule="exact"/>
              <w:ind w:right="205" w:rightChars="65" w:firstLine="828" w:firstLineChars="300"/>
              <w:jc w:val="right"/>
              <w:textAlignment w:val="bottom"/>
              <w:rPr>
                <w:rFonts w:ascii="仿宋_GB2312" w:eastAsia="仿宋_GB2312"/>
              </w:rPr>
            </w:pPr>
            <w:r>
              <w:rPr>
                <w:rFonts w:hint="eastAsia" w:ascii="仿宋" w:hAnsi="仿宋" w:cs="仿宋_GB2312"/>
                <w:sz w:val="28"/>
                <w:lang w:val="en-US" w:eastAsia="zh-CN"/>
              </w:rPr>
              <w:t>2022</w:t>
            </w:r>
            <w:r>
              <w:rPr>
                <w:rFonts w:ascii="仿宋" w:hAnsi="仿宋" w:cs="仿宋_GB2312"/>
                <w:sz w:val="28"/>
              </w:rPr>
              <w:t>年</w:t>
            </w:r>
            <w:r>
              <w:rPr>
                <w:rFonts w:hint="eastAsia" w:ascii="仿宋" w:hAnsi="仿宋" w:cs="仿宋_GB2312"/>
                <w:sz w:val="28"/>
                <w:lang w:val="en-US" w:eastAsia="zh-CN"/>
              </w:rPr>
              <w:t>1</w:t>
            </w:r>
            <w:r>
              <w:rPr>
                <w:rFonts w:ascii="仿宋" w:hAnsi="仿宋" w:cs="仿宋_GB2312"/>
                <w:sz w:val="28"/>
              </w:rPr>
              <w:t>月</w:t>
            </w:r>
            <w:r>
              <w:rPr>
                <w:rFonts w:hint="eastAsia" w:ascii="仿宋" w:hAnsi="仿宋" w:cs="仿宋_GB2312"/>
                <w:sz w:val="28"/>
                <w:lang w:val="en-US" w:eastAsia="zh-CN"/>
              </w:rPr>
              <w:t>26</w:t>
            </w:r>
            <w:r>
              <w:rPr>
                <w:rFonts w:ascii="仿宋" w:hAnsi="仿宋" w:cs="仿宋_GB2312"/>
                <w:sz w:val="28"/>
              </w:rPr>
              <w:t>日</w:t>
            </w:r>
            <w:r>
              <w:rPr>
                <w:rFonts w:hint="eastAsia" w:ascii="仿宋" w:hAnsi="仿宋" w:cs="仿宋_GB2312"/>
                <w:sz w:val="28"/>
              </w:rPr>
              <w:t>印发</w:t>
            </w:r>
            <w:r>
              <w:rPr>
                <w:rFonts w:hint="eastAsia" w:ascii="仿宋_GB2312" w:eastAsia="仿宋_GB2312" w:cs="仿宋_GB2312"/>
              </w:rPr>
              <w:t xml:space="preserve"> </w:t>
            </w:r>
          </w:p>
        </w:tc>
      </w:tr>
    </w:tbl>
    <w:p>
      <w:pPr>
        <w:pStyle w:val="2"/>
        <w:rPr>
          <w:rFonts w:hint="eastAsia" w:ascii="仿宋" w:hAnsi="仿宋"/>
        </w:rPr>
      </w:pPr>
    </w:p>
    <w:sectPr>
      <w:footerReference r:id="rId7" w:type="default"/>
      <w:pgSz w:w="11906" w:h="16838"/>
      <w:pgMar w:top="2098" w:right="1474" w:bottom="1984" w:left="1588" w:header="851" w:footer="992" w:gutter="0"/>
      <w:pgNumType w:fmt="numberInDash"/>
      <w:cols w:space="720" w:num="1"/>
      <w:docGrid w:type="linesAndChars" w:linePitch="587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wordWrap w:val="0"/>
      <w:ind w:right="360"/>
      <w:jc w:val="right"/>
      <w:rPr>
        <w:rFonts w:hint="eastAsia" w:ascii="宋体" w:hAnsi="宋体"/>
        <w:sz w:val="28"/>
        <w:szCs w:val="28"/>
      </w:rPr>
    </w:pPr>
    <w:r>
      <w:rPr>
        <w:rFonts w:ascii="宋体" w:hAnsi="宋体"/>
        <w:sz w:val="28"/>
        <w:szCs w:val="28"/>
      </w:rPr>
      <w:fldChar w:fldCharType="begin"/>
    </w:r>
    <w:r>
      <w:rPr>
        <w:rStyle w:val="7"/>
        <w:rFonts w:ascii="宋体" w:hAnsi="宋体"/>
        <w:sz w:val="28"/>
        <w:szCs w:val="28"/>
      </w:rPr>
      <w:instrText xml:space="preserve"> PAGE </w:instrText>
    </w:r>
    <w:r>
      <w:rPr>
        <w:rFonts w:ascii="宋体" w:hAnsi="宋体"/>
        <w:sz w:val="28"/>
        <w:szCs w:val="28"/>
      </w:rPr>
      <w:fldChar w:fldCharType="separate"/>
    </w:r>
    <w:r>
      <w:rPr>
        <w:rStyle w:val="7"/>
        <w:rFonts w:ascii="宋体" w:hAnsi="宋体"/>
        <w:sz w:val="28"/>
        <w:szCs w:val="28"/>
        <w:lang/>
      </w:rPr>
      <w:t>- 1 -</w:t>
    </w:r>
    <w:r>
      <w:rPr>
        <w:rFonts w:ascii="宋体" w:hAnsi="宋体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ind w:right="360" w:firstLine="0" w:firstLineChars="0"/>
      <w:rPr>
        <w:rFonts w:hint="eastAsia" w:ascii="宋体" w:hAnsi="宋体"/>
        <w:sz w:val="28"/>
        <w:szCs w:val="28"/>
      </w:rPr>
    </w:pPr>
    <w:r>
      <w:rPr>
        <w:rFonts w:ascii="宋体" w:hAnsi="宋体"/>
        <w:sz w:val="28"/>
        <w:szCs w:val="28"/>
      </w:rPr>
      <w:fldChar w:fldCharType="begin"/>
    </w:r>
    <w:r>
      <w:rPr>
        <w:rStyle w:val="7"/>
        <w:rFonts w:ascii="宋体" w:hAnsi="宋体"/>
        <w:sz w:val="28"/>
        <w:szCs w:val="28"/>
      </w:rPr>
      <w:instrText xml:space="preserve"> PAGE </w:instrText>
    </w:r>
    <w:r>
      <w:rPr>
        <w:rFonts w:ascii="宋体" w:hAnsi="宋体"/>
        <w:sz w:val="28"/>
        <w:szCs w:val="28"/>
      </w:rPr>
      <w:fldChar w:fldCharType="separate"/>
    </w:r>
    <w:r>
      <w:rPr>
        <w:rStyle w:val="7"/>
        <w:rFonts w:ascii="宋体" w:hAnsi="宋体"/>
        <w:sz w:val="28"/>
        <w:szCs w:val="28"/>
      </w:rPr>
      <w:t>- 2 -</w:t>
    </w:r>
    <w:r>
      <w:rPr>
        <w:rFonts w:ascii="宋体" w:hAnsi="宋体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wordWrap w:val="0"/>
      <w:ind w:right="360"/>
      <w:jc w:val="right"/>
      <w:rPr>
        <w:rFonts w:hint="eastAsia" w:ascii="宋体" w:hAnsi="宋体"/>
        <w:sz w:val="28"/>
        <w:szCs w:val="28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rFonts w:hint="eastAsia"/>
      </w:rPr>
    </w:pPr>
    <w:r>
      <w:rPr>
        <w:rFonts w:hint="eastAsia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rPr>
        <w:rFonts w:hint="eastAsia"/>
      </w:rPr>
    </w:pPr>
    <w:r>
      <w:rPr>
        <w:rFonts w:hint="eastAsia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/>
  <w:defaultTabStop w:val="420"/>
  <w:hyphenationZone w:val="360"/>
  <w:evenAndOddHeaders w:val="1"/>
  <w:drawingGridHorizontalSpacing w:val="158"/>
  <w:drawingGridVerticalSpacing w:val="587"/>
  <w:displayHorizontalDrawingGridEvery w:val="0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598A"/>
    <w:rsid w:val="00072E52"/>
    <w:rsid w:val="000B3399"/>
    <w:rsid w:val="000E6968"/>
    <w:rsid w:val="00116C7A"/>
    <w:rsid w:val="001538F6"/>
    <w:rsid w:val="001745DC"/>
    <w:rsid w:val="001865AB"/>
    <w:rsid w:val="001B667D"/>
    <w:rsid w:val="002269D4"/>
    <w:rsid w:val="00231764"/>
    <w:rsid w:val="00245BD9"/>
    <w:rsid w:val="00283713"/>
    <w:rsid w:val="002D060D"/>
    <w:rsid w:val="00317448"/>
    <w:rsid w:val="00354EA9"/>
    <w:rsid w:val="003828FA"/>
    <w:rsid w:val="00396E4C"/>
    <w:rsid w:val="003A09E7"/>
    <w:rsid w:val="00410875"/>
    <w:rsid w:val="00430145"/>
    <w:rsid w:val="00461224"/>
    <w:rsid w:val="00472F9E"/>
    <w:rsid w:val="00475982"/>
    <w:rsid w:val="0048765D"/>
    <w:rsid w:val="0049079F"/>
    <w:rsid w:val="00491BB5"/>
    <w:rsid w:val="004B2FE4"/>
    <w:rsid w:val="004D3B32"/>
    <w:rsid w:val="005911D6"/>
    <w:rsid w:val="00691574"/>
    <w:rsid w:val="006A3DF8"/>
    <w:rsid w:val="00721B90"/>
    <w:rsid w:val="0079728D"/>
    <w:rsid w:val="007C193A"/>
    <w:rsid w:val="007E5E0D"/>
    <w:rsid w:val="0087156E"/>
    <w:rsid w:val="0088476D"/>
    <w:rsid w:val="008A0FF1"/>
    <w:rsid w:val="008E54C5"/>
    <w:rsid w:val="00A26E0B"/>
    <w:rsid w:val="00A75DE6"/>
    <w:rsid w:val="00A8598A"/>
    <w:rsid w:val="00A9035B"/>
    <w:rsid w:val="00AB00BB"/>
    <w:rsid w:val="00B31BED"/>
    <w:rsid w:val="00B47EE3"/>
    <w:rsid w:val="00BC54D6"/>
    <w:rsid w:val="00BE0177"/>
    <w:rsid w:val="00C37F2A"/>
    <w:rsid w:val="00C52395"/>
    <w:rsid w:val="00C60497"/>
    <w:rsid w:val="00C909AD"/>
    <w:rsid w:val="00DE3ED6"/>
    <w:rsid w:val="00F954E9"/>
    <w:rsid w:val="00FC58D3"/>
    <w:rsid w:val="05C71E39"/>
    <w:rsid w:val="0EFF8511"/>
    <w:rsid w:val="18C873E7"/>
    <w:rsid w:val="318C6174"/>
    <w:rsid w:val="3ECC026D"/>
    <w:rsid w:val="72000A01"/>
    <w:rsid w:val="7BDD74A0"/>
    <w:rsid w:val="7DFFB048"/>
    <w:rsid w:val="7EA618B5"/>
    <w:rsid w:val="BBFE8C31"/>
    <w:rsid w:val="BD7F13D3"/>
    <w:rsid w:val="EDFCD383"/>
    <w:rsid w:val="FD3FE0A3"/>
    <w:rsid w:val="FFDF1C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eastAsia="仿宋"/>
      <w:color w:val="000000"/>
      <w:kern w:val="2"/>
      <w:sz w:val="32"/>
      <w:szCs w:val="32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8">
    <w:name w:val="Normal Table"/>
    <w:semiHidden/>
    <w:uiPriority w:val="0"/>
    <w:tblPr>
      <w:tblStyle w:val="8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3">
    <w:name w:val="Balloon Text"/>
    <w:basedOn w:val="1"/>
    <w:link w:val="10"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basedOn w:val="6"/>
    <w:uiPriority w:val="0"/>
  </w:style>
  <w:style w:type="table" w:styleId="9">
    <w:name w:val="Table Grid"/>
    <w:basedOn w:val="8"/>
    <w:uiPriority w:val="0"/>
    <w:pPr>
      <w:widowControl w:val="0"/>
      <w:jc w:val="both"/>
    </w:pPr>
    <w:tblPr>
      <w:tblStyle w:val="8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0">
    <w:name w:val="批注框文本 Char"/>
    <w:basedOn w:val="6"/>
    <w:link w:val="3"/>
    <w:uiPriority w:val="0"/>
    <w:rPr>
      <w:rFonts w:eastAsia="仿宋"/>
      <w:color w:val="000000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2435</Words>
  <Characters>2476</Characters>
  <Lines>1</Lines>
  <Paragraphs>1</Paragraphs>
  <TotalTime>1</TotalTime>
  <ScaleCrop>false</ScaleCrop>
  <LinksUpToDate>false</LinksUpToDate>
  <CharactersWithSpaces>2555</CharactersWithSpaces>
  <Application>WPS Office_10.8.2.6666_F1E327BC-269C-435d-A152-05C5408002CA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2012-08-09T18:00:00Z</dcterms:created>
  <dc:creator>Administrator</dc:creator>
  <cp:lastModifiedBy>shsyj</cp:lastModifiedBy>
  <dcterms:modified xsi:type="dcterms:W3CDTF">2022-01-29T01:28:37Z</dcterms:modified>
  <dc:title>福建省医疗保障局文件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2052-10.8.2.6666</vt:lpwstr>
  </property>
</Properties>
</file>