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tabs>
          <w:tab w:val="left" w:pos="983"/>
          <w:tab w:val="left" w:pos="2519"/>
          <w:tab w:val="left" w:pos="4521"/>
          <w:tab w:val="left" w:pos="7489"/>
          <w:tab w:val="left" w:pos="7946"/>
          <w:tab w:val="left" w:pos="8416"/>
          <w:tab w:val="left" w:pos="9192"/>
          <w:tab w:val="left" w:pos="10224"/>
          <w:tab w:val="left" w:pos="12672"/>
          <w:tab w:val="left" w:pos="13130"/>
          <w:tab w:val="left" w:pos="1370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i w:val="0"/>
          <w:color w:val="000000"/>
          <w:sz w:val="32"/>
          <w:szCs w:val="32"/>
          <w:u w:val="none"/>
        </w:rPr>
      </w:pPr>
      <w:r>
        <w:rPr>
          <w:rFonts w:hint="eastAsia" w:ascii="黑体" w:hAnsi="宋体" w:eastAsia="黑体" w:cs="黑体"/>
          <w:i w:val="0"/>
          <w:color w:val="000000"/>
          <w:kern w:val="0"/>
          <w:sz w:val="32"/>
          <w:szCs w:val="32"/>
          <w:u w:val="none"/>
          <w:lang w:val="en-US" w:eastAsia="zh-CN" w:bidi="ar"/>
        </w:rPr>
        <w:t>附件1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center"/>
        <w:rPr>
          <w:rFonts w:ascii="方正小标宋简体" w:hAnsi="方正小标宋简体" w:eastAsia="方正小标宋简体" w:cs="方正小标宋简体"/>
          <w:i w:val="0"/>
          <w:color w:val="000000"/>
          <w:sz w:val="44"/>
          <w:szCs w:val="44"/>
          <w:u w:val="none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i w:val="0"/>
          <w:color w:val="000000"/>
          <w:kern w:val="0"/>
          <w:sz w:val="44"/>
          <w:szCs w:val="44"/>
          <w:u w:val="none"/>
          <w:lang w:val="en-US" w:eastAsia="zh-CN" w:bidi="ar"/>
        </w:rPr>
        <w:t>平潭综合实验区公立医疗机构药学类医疗服务项目及价格表</w:t>
      </w:r>
    </w:p>
    <w:bookmarkEnd w:id="0"/>
    <w:p>
      <w:pPr>
        <w:keepNext w:val="0"/>
        <w:keepLines w:val="0"/>
        <w:pageBreakBefore w:val="0"/>
        <w:widowControl/>
        <w:suppressLineNumbers w:val="0"/>
        <w:tabs>
          <w:tab w:val="left" w:pos="983"/>
          <w:tab w:val="left" w:pos="2519"/>
          <w:tab w:val="left" w:pos="4521"/>
          <w:tab w:val="left" w:pos="7489"/>
          <w:tab w:val="left" w:pos="7946"/>
          <w:tab w:val="left" w:pos="8416"/>
          <w:tab w:val="left" w:pos="9192"/>
          <w:tab w:val="left" w:pos="102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center"/>
        <w:rPr>
          <w:rFonts w:hint="eastAsia" w:ascii="黑体" w:hAnsi="宋体" w:eastAsia="黑体" w:cs="黑体"/>
          <w:i w:val="0"/>
          <w:color w:val="000000"/>
          <w:sz w:val="24"/>
          <w:szCs w:val="24"/>
          <w:u w:val="none"/>
        </w:rPr>
      </w:pPr>
      <w:r>
        <w:rPr>
          <w:rFonts w:hint="eastAsia" w:ascii="黑体" w:hAnsi="宋体" w:eastAsia="黑体" w:cs="黑体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金额：元</w:t>
      </w:r>
    </w:p>
    <w:tbl>
      <w:tblPr>
        <w:tblStyle w:val="5"/>
        <w:tblW w:w="15939" w:type="dxa"/>
        <w:tblInd w:w="-9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418"/>
        <w:gridCol w:w="2149"/>
        <w:gridCol w:w="3439"/>
        <w:gridCol w:w="737"/>
        <w:gridCol w:w="681"/>
        <w:gridCol w:w="1119"/>
        <w:gridCol w:w="1350"/>
        <w:gridCol w:w="2184"/>
        <w:gridCol w:w="653"/>
        <w:gridCol w:w="914"/>
        <w:gridCol w:w="65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国家编码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项目编码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项目内涵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除外内容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计价单位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县级医院收费标准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基层医疗机构收费标准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医保属性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先行自付比例</w:t>
            </w: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限用</w:t>
            </w: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范围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11.药学服务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2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静脉药物配置费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药师审核处方或医嘱，在万级空间、局部百级的环境下无菌操作。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0.9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7"/>
                <w:rFonts w:hint="eastAsia" w:ascii="仿宋_GB2312" w:hAnsi="仿宋_GB2312" w:eastAsia="仿宋_GB2312" w:cs="仿宋_GB2312"/>
                <w:sz w:val="21"/>
                <w:szCs w:val="21"/>
                <w:lang w:val="en-US" w:eastAsia="zh-CN" w:bidi="ar"/>
              </w:rPr>
              <w:t>①</w:t>
            </w:r>
            <w:r>
              <w:rPr>
                <w:rStyle w:val="8"/>
                <w:rFonts w:hint="eastAsia" w:ascii="仿宋_GB2312" w:hAnsi="仿宋_GB2312" w:eastAsia="仿宋_GB2312" w:cs="仿宋_GB2312"/>
                <w:sz w:val="21"/>
                <w:szCs w:val="21"/>
                <w:lang w:val="en-US" w:eastAsia="zh-CN" w:bidi="ar"/>
              </w:rPr>
              <w:t>静脉药物配置费限静脉配置中心配置药物时收取；</w:t>
            </w:r>
            <w:r>
              <w:rPr>
                <w:rStyle w:val="7"/>
                <w:rFonts w:hint="eastAsia" w:ascii="仿宋_GB2312" w:hAnsi="仿宋_GB2312" w:eastAsia="仿宋_GB2312" w:cs="仿宋_GB2312"/>
                <w:sz w:val="21"/>
                <w:szCs w:val="21"/>
                <w:lang w:val="en-US" w:eastAsia="zh-CN" w:bidi="ar"/>
              </w:rPr>
              <w:t>②</w:t>
            </w:r>
            <w:r>
              <w:rPr>
                <w:rStyle w:val="8"/>
                <w:rFonts w:hint="eastAsia" w:ascii="仿宋_GB2312" w:hAnsi="仿宋_GB2312" w:eastAsia="仿宋_GB2312" w:cs="仿宋_GB2312"/>
                <w:sz w:val="21"/>
                <w:szCs w:val="21"/>
                <w:lang w:val="en-US" w:eastAsia="zh-CN" w:bidi="ar"/>
              </w:rPr>
              <w:t>静脉药物配置特殊药物的按县级每组10元、基层每组</w:t>
            </w:r>
            <w:r>
              <w:rPr>
                <w:rStyle w:val="7"/>
                <w:rFonts w:hint="eastAsia" w:ascii="仿宋_GB2312" w:hAnsi="仿宋_GB2312" w:eastAsia="仿宋_GB2312" w:cs="仿宋_GB2312"/>
                <w:sz w:val="21"/>
                <w:szCs w:val="21"/>
                <w:lang w:val="en-US" w:eastAsia="zh-CN" w:bidi="ar"/>
              </w:rPr>
              <w:t>8.5元</w:t>
            </w:r>
            <w:r>
              <w:rPr>
                <w:rStyle w:val="8"/>
                <w:rFonts w:hint="eastAsia" w:ascii="仿宋_GB2312" w:hAnsi="仿宋_GB2312" w:eastAsia="仿宋_GB2312" w:cs="仿宋_GB2312"/>
                <w:sz w:val="21"/>
                <w:szCs w:val="21"/>
                <w:lang w:val="en-US" w:eastAsia="zh-CN" w:bidi="ar"/>
              </w:rPr>
              <w:t>收取。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11110000201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静脉药物配置费(特殊药物)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药师审核处方或医嘱，在规定条件场所按照临床医嘱配置细胞毒药物、TPN药物。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血清药物浓度测定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含样本采集、签收、处理（根据样本类型不同进行相应的前处理），检测样本，审核结果，录入实验室信息系统或人工登记，发送药物检测结果解读和临床药物治疗意见的报告，按规定处理废弃物。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每种药物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108 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91.8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超过3种药物按3种收取。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111100004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体液抗生素浓度测定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氨基糖甙类药物等分别参照执行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每种药物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48 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40.8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FF0000"/>
                <w:sz w:val="21"/>
                <w:szCs w:val="21"/>
                <w:u w:val="none"/>
              </w:rPr>
            </w:pP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111100005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各类滥用药物筛查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样本类型：血液、尿液。样本采集，样本处理，离心机离心，将试剂加入相应的空白孔、标准孔、对照孔及测定孔，经过孵育，洗板，加试剂等过程后用相关检测仪器比色得到吸光度值，绘制标准曲线得到待测物浓度，结果审核，发送药物检测结果解读和临床药物治疗意见的报告，废弃物处理。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每种药物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45.1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超过2种药物按2种收取。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111100006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药物敏感试验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样本类型：分离株。制备菌悬液，选择相应药物测试，发送药物检测结果解读和临床药物治疗意见的报告，废弃物处理。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每种药物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7.7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①超过15种药物按15种收取。②结核菌药敏试验在药物敏感试验基础上每种药物县级加收45元，基层加收38.2元。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11110000601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药物敏感试验（结核杆菌）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每种药物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45.9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超过5种药物按5种收取。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11110000602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药物敏感试验（特殊药物）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样本类型：肿瘤组织及血液、骨髓、胸腹水、脑脊液等体液。分离肿瘤细胞、制备肿瘤细胞悬液，分别加入不同浓度抗肿瘤药物，经体外培养分析肿瘤细胞存活率，判断肿瘤细胞对药物的敏感和耐药性，审核检测结果 ，录入实验室信息系统或人工登记，发送药物检测结果解读和临床药物治疗意见的报告，废弃物处理。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每种药物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68.9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超过4种药物按4种收取。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111100007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用药指导的基因检测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检测CYP2C9、CYPC19、CYP2D6、CYP3A4基因。样本采集、签收、处理(据标本类型不同进行相应的前处理)，提取基因组DNA（RNA），与质控品、阴阳性对照和内参同时扩增，分析扩增产物或杂交或测序等，进行基因分析，判断并审核结果，录入实验室信息系统或人工登记，发送药物检测结果解读和临床药物治疗意见的报告，按规定处理废弃物。</w:t>
            </w: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351 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298.4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项指1个基因。每药物检测超过1个基因的县级按612元，基层按520.2元收取。</w:t>
            </w: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11110000701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用药指导的基因检测（超过1个基因检测）</w:t>
            </w:r>
          </w:p>
        </w:tc>
        <w:tc>
          <w:tcPr>
            <w:tcW w:w="3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FF0000"/>
                <w:sz w:val="21"/>
                <w:szCs w:val="21"/>
                <w:u w:val="none"/>
              </w:rPr>
            </w:pPr>
          </w:p>
        </w:tc>
        <w:tc>
          <w:tcPr>
            <w:tcW w:w="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i w:val="0"/>
                <w:color w:val="FF0000"/>
                <w:sz w:val="21"/>
                <w:szCs w:val="21"/>
                <w:u w:val="none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612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520.2 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10%</w:t>
            </w:r>
          </w:p>
        </w:tc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1593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sz w:val="21"/>
                <w:szCs w:val="21"/>
                <w:lang w:val="en-US" w:eastAsia="zh-CN" w:bidi="ar"/>
              </w:rPr>
              <w:t>备注：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①“常规药敏定性试验（项目编码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250502001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）”、“常规药敏定量试验（MIC）（项目编码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250502002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）”、“真菌药敏试验项（目编码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250502003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）”、“结核菌药敏试验（项目编码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250502004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）”、“厌氧菌药敏试验（项目编码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250502005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）”、“联合药物敏感试验（项目编码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250502007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）”、“抗生素最小抑／杀菌浓度测定(项目编码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250502008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）”、“β—内酰胺酶试验（项目编码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250503008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）”、“超广谱β-内酰胺酶试验（项目编码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250503009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）”整合至“药物敏感试验”项目，项目编码为111100006，其中“β—内酰胺酶试验”、“超广谱β-内酰胺酶试验”参照一种药物收取，“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结核菌药敏试验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”取消除外收费（除外编码950047）；“肿瘤细胞化疗药物敏感试验（项目编码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250502010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）规范为“药物敏感试验（特殊药物）”，项目编码为11110000602。②“结核分枝杆菌及利福平耐药快速测定（项目编码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250502011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）”、“耐万古霉素基因试验（项目编码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250503010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整合至“用药指导的基因检测（项目编码111100007）”，其中“结核分枝杆菌及利福平耐药快速测定”限疑似结核感染患者收取；“耐万古霉素基因试验”含A、B、C基因，县级医院按351元收取，基层医疗机构按298.4元收取。③“抗肿瘤化学药物配置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120400013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）”规范为“静脉药物配置费(特殊药物)”，项目编码为11110000201。④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血清药物浓度测定（色谱法）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肿瘤治疗药物浓度测定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免疫抑制药物浓度测定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不再区别定价，执行血清药物浓度测定项目价格；取消项目编码为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25030900501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的“血清药物浓度测定（色谱法）”、项目编码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25030900502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的血清药物浓度测定（肿瘤治疗药物浓度测定），项目编码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25030900503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的血清药物浓度测定（免疫抑制药物浓度测定）。⑤各类滥用药物筛查（色谱法）不再区别定价，执行各类滥用药物筛查项目价格；取消项目编码为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25030900601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的“各类滥用药物筛查（色谱法）”。⑥取消“血清杀菌水平测定（项目编码</w:t>
            </w:r>
            <w:r>
              <w:rPr>
                <w:rStyle w:val="9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250502006</w:t>
            </w:r>
            <w:r>
              <w:rPr>
                <w:rStyle w:val="8"/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 w:bidi="ar"/>
              </w:rPr>
              <w:t>）”。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color w:val="auto"/>
          <w:w w:val="100"/>
          <w:sz w:val="32"/>
          <w:szCs w:val="32"/>
          <w:lang w:val="en-US" w:eastAsia="zh-CN"/>
        </w:rPr>
        <w:sectPr>
          <w:pgSz w:w="16838" w:h="11906" w:orient="landscape"/>
          <w:pgMar w:top="1587" w:right="1440" w:bottom="1587" w:left="1440" w:header="851" w:footer="992" w:gutter="0"/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/>
        <w:tabs>
          <w:tab w:val="left" w:pos="1036"/>
          <w:tab w:val="left" w:pos="3848"/>
          <w:tab w:val="left" w:pos="1216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rPr>
          <w:rFonts w:hint="eastAsia" w:ascii="宋体" w:hAnsi="宋体" w:eastAsia="宋体" w:cs="宋体"/>
          <w:i w:val="0"/>
          <w:color w:val="000000"/>
          <w:sz w:val="32"/>
          <w:szCs w:val="32"/>
          <w:u w:val="none"/>
        </w:rPr>
      </w:pPr>
      <w:r>
        <w:rPr>
          <w:rFonts w:hint="eastAsia" w:ascii="黑体" w:hAnsi="宋体" w:eastAsia="黑体" w:cs="黑体"/>
          <w:i w:val="0"/>
          <w:color w:val="000000"/>
          <w:kern w:val="0"/>
          <w:sz w:val="32"/>
          <w:szCs w:val="32"/>
          <w:u w:val="none"/>
          <w:lang w:val="en-US" w:eastAsia="zh-CN" w:bidi="ar"/>
        </w:rPr>
        <w:t>附件2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center"/>
        <w:rPr>
          <w:rFonts w:ascii="方正小标宋简体" w:hAnsi="方正小标宋简体" w:eastAsia="方正小标宋简体" w:cs="方正小标宋简体"/>
          <w:i w:val="0"/>
          <w:color w:val="000000"/>
          <w:sz w:val="44"/>
          <w:szCs w:val="44"/>
          <w:u w:val="none"/>
        </w:rPr>
      </w:pPr>
      <w:r>
        <w:rPr>
          <w:rFonts w:hint="eastAsia" w:ascii="方正小标宋简体" w:hAnsi="方正小标宋简体" w:eastAsia="方正小标宋简体" w:cs="方正小标宋简体"/>
          <w:i w:val="0"/>
          <w:color w:val="000000"/>
          <w:kern w:val="0"/>
          <w:sz w:val="44"/>
          <w:szCs w:val="44"/>
          <w:u w:val="none"/>
          <w:lang w:val="en-US" w:eastAsia="zh-CN" w:bidi="ar"/>
        </w:rPr>
        <w:t>平潭综合实验区公立医疗机构药学服务收费监测评估指标</w:t>
      </w:r>
    </w:p>
    <w:tbl>
      <w:tblPr>
        <w:tblStyle w:val="5"/>
        <w:tblW w:w="15175" w:type="dxa"/>
        <w:tblInd w:w="-5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4142"/>
        <w:gridCol w:w="8506"/>
        <w:gridCol w:w="1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一级指标</w:t>
            </w: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二级指标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指标说明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数据提供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安全性</w:t>
            </w: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临床药师配备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临床药师数量及分布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发现不合理用药问题次数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纠正不合理用药次数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用药错误报告率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用药错误人次数占同期用药总人次数的比例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经济性</w:t>
            </w: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门诊药品次均费用同比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（年度门诊药品次均费用-上年度门诊药品次均费用）/上年度门诊药品次均费用×100%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医保、医院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年度处方中仿制药占比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年度处方中仿制药品种占全部药品品种的比例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医院、医保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门诊诊察费与门诊药品次均费用的比值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普通门诊诊查费/普通门诊药品次均费用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医院、医保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合理性</w:t>
            </w: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非临床路径药品使用率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非临床路径药品使用量/全部药品使用量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药品价格与使用结构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价格低（最小包装单位150元及以下）、中（最小包装单位150-350元）、高（最小包装单位350元及以上）药品使用及变化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医院、医保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药品给药途径与使用结构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口服（注射、外用）药品使用数量占全部药品的比例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医院、医保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影响力</w:t>
            </w: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参与支付方式改革运行管理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参与DRG或病种收付费等支付方式改革的参与形式、制度保障和管理措施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DRG组或病种收付费药品费用同比变化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（纳入DRG或病种收付费结算的年度药品费用-纳入DRG或病种收付费结算的上年度药品费用）/纳入DRG或病种收付费结算的上年度药品费用×100%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医院、医保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1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纳入收付费的DRG组或病种药品费用占比</w:t>
            </w:r>
          </w:p>
        </w:tc>
        <w:tc>
          <w:tcPr>
            <w:tcW w:w="8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结算金额排名前10的DRG组或病种药品费用占该组或该病种收付费结算总费用的比例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医院、医保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color w:val="auto"/>
          <w:w w:val="100"/>
          <w:sz w:val="32"/>
          <w:szCs w:val="32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  <w:sectPr>
          <w:pgSz w:w="16838" w:h="11906" w:orient="landscape"/>
          <w:pgMar w:top="1587" w:right="1440" w:bottom="1587" w:left="1440" w:header="851" w:footer="992" w:gutter="0"/>
          <w:cols w:space="720" w:num="1"/>
          <w:docGrid w:type="lines" w:linePitch="312" w:charSpace="0"/>
        </w:sectPr>
      </w:pPr>
    </w:p>
    <w:tbl>
      <w:tblPr>
        <w:tblStyle w:val="6"/>
        <w:tblpPr w:leftFromText="180" w:rightFromText="180" w:vertAnchor="text" w:horzAnchor="page" w:tblpX="1585" w:tblpY="13252"/>
        <w:tblOverlap w:val="never"/>
        <w:tblW w:w="906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060" w:type="dxa"/>
            <w:tcBorders>
              <w:left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16" w:lineRule="exact"/>
              <w:ind w:left="0" w:leftChars="0"/>
              <w:textAlignment w:val="auto"/>
              <w:outlineLvl w:val="9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平潭综合实验区社会事业局</w:t>
            </w:r>
            <w:r>
              <w:rPr>
                <w:rFonts w:hint="eastAsia" w:ascii="仿宋_GB2312" w:eastAsia="仿宋_GB2312"/>
                <w:sz w:val="28"/>
                <w:szCs w:val="28"/>
                <w:lang w:eastAsia="zh-CN"/>
              </w:rPr>
              <w:t>办公室</w:t>
            </w:r>
            <w:r>
              <w:rPr>
                <w:rFonts w:hint="eastAsia" w:ascii="仿宋_GB2312" w:eastAsia="仿宋_GB2312"/>
                <w:sz w:val="28"/>
                <w:szCs w:val="28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     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20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22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30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日印发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FZFangSong-Z02">
    <w:altName w:val="宋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东文宋体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F4514"/>
    <w:rsid w:val="2D5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FZFangSong-Z02" w:hAnsi="FZFangSong-Z02" w:eastAsia="FZFangSong-Z02" w:cs="Times New Roman"/>
      <w:color w:val="000000"/>
      <w:sz w:val="24"/>
      <w:szCs w:val="22"/>
      <w:lang w:val="en-US" w:eastAsia="zh-CN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99"/>
    <w:pPr>
      <w:widowControl w:val="0"/>
      <w:jc w:val="both"/>
    </w:pPr>
    <w:rPr>
      <w:rFonts w:cs="Calibri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font21"/>
    <w:basedOn w:val="4"/>
    <w:qFormat/>
    <w:uiPriority w:val="0"/>
    <w:rPr>
      <w:rFonts w:hint="default" w:ascii="东文宋体" w:hAnsi="东文宋体" w:eastAsia="东文宋体" w:cs="东文宋体"/>
      <w:color w:val="000000"/>
      <w:sz w:val="24"/>
      <w:szCs w:val="24"/>
      <w:u w:val="none"/>
    </w:rPr>
  </w:style>
  <w:style w:type="character" w:customStyle="1" w:styleId="8">
    <w:name w:val="font112"/>
    <w:basedOn w:val="4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9">
    <w:name w:val="font31"/>
    <w:basedOn w:val="4"/>
    <w:qFormat/>
    <w:uiPriority w:val="0"/>
    <w:rPr>
      <w:rFonts w:hint="eastAsia" w:ascii="仿宋" w:hAnsi="仿宋" w:eastAsia="仿宋" w:cs="仿宋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Office_10.8.2.6666_F1E327BC-269C-435d-A152-05C5408002CA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2022-07-07T02:09:00Z</dcterms:created>
  <dc:creator>shsyj</dc:creator>
  <cp:lastModifiedBy>shsyj</cp:lastModifiedBy>
  <dcterms:modified xsi:type="dcterms:W3CDTF">2022-07-07T02:10:50Z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2052-10.8.2.6666</vt:lpwstr>
  </property>
</Properties>
</file>