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rPr>
          <w:sz w:val="32"/>
          <w:szCs w:val="32"/>
        </w:rPr>
      </w:pPr>
    </w:p>
    <w:p>
      <w:pPr>
        <w:widowControl/>
        <w:rPr>
          <w:sz w:val="32"/>
          <w:szCs w:val="32"/>
        </w:rPr>
      </w:pPr>
      <w:bookmarkStart w:id="0" w:name="_GoBack"/>
      <w:bookmarkEnd w:id="0"/>
    </w:p>
    <w:p>
      <w:pPr>
        <w:widowControl/>
        <w:jc w:val="center"/>
        <w:rPr>
          <w:sz w:val="84"/>
          <w:szCs w:val="84"/>
        </w:rPr>
      </w:pPr>
    </w:p>
    <w:p>
      <w:pPr>
        <w:widowControl/>
        <w:jc w:val="center"/>
        <w:rPr>
          <w:sz w:val="84"/>
          <w:szCs w:val="84"/>
        </w:rPr>
      </w:pPr>
    </w:p>
    <w:p>
      <w:pPr>
        <w:widowControl/>
        <w:jc w:val="center"/>
        <w:rPr>
          <w:rFonts w:ascii="方正小标宋简体" w:eastAsia="方正小标宋简体"/>
          <w:sz w:val="84"/>
          <w:szCs w:val="84"/>
        </w:rPr>
      </w:pPr>
      <w:r>
        <w:rPr>
          <w:rFonts w:hint="eastAsia" w:ascii="方正小标宋简体" w:eastAsia="方正小标宋简体"/>
          <w:sz w:val="84"/>
          <w:szCs w:val="84"/>
        </w:rPr>
        <w:t>2022年度</w:t>
      </w:r>
    </w:p>
    <w:p>
      <w:pPr>
        <w:widowControl/>
        <w:jc w:val="center"/>
        <w:rPr>
          <w:rFonts w:ascii="方正小标宋简体" w:eastAsia="方正小标宋简体"/>
          <w:sz w:val="84"/>
          <w:szCs w:val="84"/>
        </w:rPr>
      </w:pPr>
      <w:r>
        <w:rPr>
          <w:rFonts w:hint="eastAsia" w:ascii="方正小标宋简体" w:eastAsia="方正小标宋简体"/>
          <w:sz w:val="84"/>
          <w:szCs w:val="84"/>
        </w:rPr>
        <w:t>平潭综合实验区应急事务中心部门预算</w:t>
      </w:r>
    </w:p>
    <w:p>
      <w:pPr>
        <w:pStyle w:val="2"/>
        <w:jc w:val="center"/>
        <w:rPr>
          <w:rFonts w:ascii="方正小标宋简体" w:eastAsia="方正小标宋简体" w:hAnsiTheme="majorEastAsia"/>
          <w:sz w:val="44"/>
          <w:lang w:eastAsia="zh-CN"/>
        </w:rPr>
        <w:sectPr>
          <w:pgSz w:w="11906" w:h="16838"/>
          <w:pgMar w:top="1440" w:right="1800" w:bottom="1440" w:left="1800" w:header="851" w:footer="992" w:gutter="0"/>
          <w:pgNumType w:start="1"/>
          <w:cols w:space="720" w:num="1"/>
          <w:docGrid w:type="lines" w:linePitch="312" w:charSpace="0"/>
        </w:sectPr>
      </w:pPr>
    </w:p>
    <w:p>
      <w:pPr>
        <w:pStyle w:val="2"/>
        <w:jc w:val="center"/>
        <w:rPr>
          <w:rFonts w:ascii="方正小标宋简体" w:eastAsia="方正小标宋简体" w:hAnsiTheme="majorEastAsia"/>
          <w:sz w:val="44"/>
          <w:lang w:eastAsia="zh-CN"/>
        </w:rPr>
      </w:pPr>
      <w:r>
        <w:rPr>
          <w:rFonts w:hint="eastAsia" w:ascii="方正小标宋简体" w:eastAsia="方正小标宋简体" w:hAnsiTheme="majorEastAsia"/>
          <w:sz w:val="44"/>
          <w:lang w:eastAsia="zh-CN"/>
        </w:rPr>
        <w:t>目录</w:t>
      </w:r>
    </w:p>
    <w:p>
      <w:pPr>
        <w:pStyle w:val="2"/>
        <w:rPr>
          <w:rFonts w:asciiTheme="majorEastAsia" w:hAnsiTheme="majorEastAsia" w:eastAsiaTheme="majorEastAsia"/>
          <w:sz w:val="36"/>
          <w:lang w:eastAsia="zh-CN"/>
        </w:rPr>
      </w:pPr>
    </w:p>
    <w:p>
      <w:pPr>
        <w:pStyle w:val="2"/>
        <w:rPr>
          <w:rFonts w:ascii="仿宋" w:hAnsi="仿宋" w:eastAsia="仿宋"/>
          <w:b/>
          <w:sz w:val="36"/>
          <w:lang w:eastAsia="zh-CN"/>
        </w:rPr>
      </w:pPr>
      <w:r>
        <w:rPr>
          <w:rFonts w:hint="eastAsia" w:ascii="仿宋" w:hAnsi="仿宋" w:eastAsia="仿宋"/>
          <w:b/>
          <w:sz w:val="36"/>
          <w:lang w:eastAsia="zh-CN"/>
        </w:rPr>
        <w:t>第一部分部门概况……………………………………</w:t>
      </w:r>
      <w:r>
        <w:rPr>
          <w:rFonts w:hint="eastAsia" w:ascii="仿宋" w:hAnsi="仿宋" w:eastAsia="仿宋"/>
          <w:sz w:val="36"/>
          <w:lang w:eastAsia="zh-CN"/>
        </w:rPr>
        <w:t>1</w:t>
      </w:r>
    </w:p>
    <w:p>
      <w:pPr>
        <w:pStyle w:val="2"/>
        <w:ind w:firstLine="360" w:firstLineChars="100"/>
        <w:rPr>
          <w:rFonts w:ascii="仿宋" w:hAnsi="仿宋" w:eastAsia="仿宋"/>
          <w:sz w:val="36"/>
          <w:lang w:eastAsia="zh-CN"/>
        </w:rPr>
      </w:pPr>
      <w:r>
        <w:rPr>
          <w:rFonts w:hint="eastAsia" w:ascii="仿宋" w:hAnsi="仿宋" w:eastAsia="仿宋"/>
          <w:sz w:val="36"/>
          <w:lang w:eastAsia="zh-CN"/>
        </w:rPr>
        <w:t>一、部门主要职责…………………………………2</w:t>
      </w:r>
    </w:p>
    <w:p>
      <w:pPr>
        <w:pStyle w:val="2"/>
        <w:ind w:firstLine="360" w:firstLineChars="100"/>
        <w:rPr>
          <w:rFonts w:ascii="仿宋" w:hAnsi="仿宋" w:eastAsia="仿宋"/>
          <w:sz w:val="36"/>
          <w:lang w:eastAsia="zh-CN"/>
        </w:rPr>
      </w:pPr>
      <w:r>
        <w:rPr>
          <w:rFonts w:hint="eastAsia" w:ascii="仿宋" w:hAnsi="仿宋" w:eastAsia="仿宋"/>
          <w:sz w:val="36"/>
          <w:lang w:eastAsia="zh-CN"/>
        </w:rPr>
        <w:t>二、部门预算单位构成……………………………2</w:t>
      </w:r>
    </w:p>
    <w:p>
      <w:pPr>
        <w:pStyle w:val="2"/>
        <w:ind w:firstLine="360" w:firstLineChars="100"/>
        <w:rPr>
          <w:rFonts w:ascii="仿宋" w:hAnsi="仿宋" w:eastAsia="仿宋"/>
          <w:sz w:val="36"/>
          <w:lang w:eastAsia="zh-CN"/>
        </w:rPr>
      </w:pPr>
      <w:r>
        <w:rPr>
          <w:rFonts w:hint="eastAsia" w:ascii="仿宋" w:hAnsi="仿宋" w:eastAsia="仿宋"/>
          <w:sz w:val="36"/>
          <w:lang w:eastAsia="zh-CN"/>
        </w:rPr>
        <w:t>三、部门主要工作任务……………………………2</w:t>
      </w:r>
    </w:p>
    <w:p>
      <w:pPr>
        <w:pStyle w:val="2"/>
        <w:rPr>
          <w:rFonts w:ascii="仿宋" w:hAnsi="仿宋" w:eastAsia="仿宋"/>
          <w:b/>
          <w:sz w:val="36"/>
          <w:lang w:eastAsia="zh-CN"/>
        </w:rPr>
      </w:pPr>
      <w:r>
        <w:rPr>
          <w:rFonts w:hint="eastAsia" w:ascii="仿宋" w:hAnsi="仿宋" w:eastAsia="仿宋"/>
          <w:b/>
          <w:sz w:val="36"/>
          <w:lang w:eastAsia="zh-CN"/>
        </w:rPr>
        <w:t>第二部分2022年度部门预算表</w:t>
      </w:r>
      <w:r>
        <w:rPr>
          <w:rFonts w:hint="eastAsia" w:ascii="仿宋" w:hAnsi="仿宋" w:eastAsia="仿宋"/>
          <w:sz w:val="36"/>
          <w:lang w:eastAsia="zh-CN"/>
        </w:rPr>
        <w:t>………………………4</w:t>
      </w:r>
    </w:p>
    <w:p>
      <w:pPr>
        <w:pStyle w:val="2"/>
        <w:ind w:firstLine="360" w:firstLineChars="100"/>
        <w:rPr>
          <w:rFonts w:ascii="仿宋" w:hAnsi="仿宋" w:eastAsia="仿宋"/>
          <w:sz w:val="36"/>
          <w:lang w:eastAsia="zh-CN"/>
        </w:rPr>
      </w:pPr>
      <w:r>
        <w:rPr>
          <w:rFonts w:hint="eastAsia" w:ascii="仿宋" w:hAnsi="仿宋" w:eastAsia="仿宋"/>
          <w:sz w:val="36"/>
          <w:lang w:eastAsia="zh-CN"/>
        </w:rPr>
        <w:t>一、收支预算总表…………………………………5</w:t>
      </w:r>
    </w:p>
    <w:p>
      <w:pPr>
        <w:pStyle w:val="2"/>
        <w:ind w:firstLine="360" w:firstLineChars="100"/>
        <w:rPr>
          <w:rFonts w:ascii="仿宋" w:hAnsi="仿宋" w:eastAsia="仿宋"/>
          <w:sz w:val="36"/>
          <w:lang w:eastAsia="zh-CN"/>
        </w:rPr>
      </w:pPr>
      <w:r>
        <w:rPr>
          <w:rFonts w:hint="eastAsia" w:ascii="仿宋" w:hAnsi="仿宋" w:eastAsia="仿宋"/>
          <w:sz w:val="36"/>
          <w:lang w:eastAsia="zh-CN"/>
        </w:rPr>
        <w:t>二、收入预算总表…………………………………6</w:t>
      </w:r>
    </w:p>
    <w:p>
      <w:pPr>
        <w:pStyle w:val="2"/>
        <w:ind w:firstLine="360" w:firstLineChars="100"/>
        <w:rPr>
          <w:rFonts w:ascii="仿宋" w:hAnsi="仿宋" w:eastAsia="仿宋"/>
          <w:sz w:val="36"/>
          <w:lang w:eastAsia="zh-CN"/>
        </w:rPr>
      </w:pPr>
      <w:r>
        <w:rPr>
          <w:rFonts w:hint="eastAsia" w:ascii="仿宋" w:hAnsi="仿宋" w:eastAsia="仿宋"/>
          <w:sz w:val="36"/>
          <w:lang w:eastAsia="zh-CN"/>
        </w:rPr>
        <w:t>三、支出预算总表…………………………………8</w:t>
      </w:r>
    </w:p>
    <w:p>
      <w:pPr>
        <w:pStyle w:val="2"/>
        <w:ind w:firstLine="360" w:firstLineChars="100"/>
        <w:rPr>
          <w:rFonts w:ascii="仿宋" w:hAnsi="仿宋" w:eastAsia="仿宋"/>
          <w:sz w:val="36"/>
          <w:lang w:eastAsia="zh-CN"/>
        </w:rPr>
      </w:pPr>
      <w:r>
        <w:rPr>
          <w:rFonts w:hint="eastAsia" w:ascii="仿宋" w:hAnsi="仿宋" w:eastAsia="仿宋"/>
          <w:sz w:val="36"/>
          <w:lang w:eastAsia="zh-CN"/>
        </w:rPr>
        <w:t>四、财政拨款收支预算总表………………………9</w:t>
      </w:r>
    </w:p>
    <w:p>
      <w:pPr>
        <w:pStyle w:val="2"/>
        <w:ind w:firstLine="360" w:firstLineChars="100"/>
        <w:rPr>
          <w:rFonts w:ascii="仿宋" w:hAnsi="仿宋" w:eastAsia="仿宋"/>
          <w:sz w:val="36"/>
          <w:lang w:eastAsia="zh-CN"/>
        </w:rPr>
      </w:pPr>
      <w:r>
        <w:rPr>
          <w:rFonts w:hint="eastAsia" w:ascii="仿宋" w:hAnsi="仿宋" w:eastAsia="仿宋"/>
          <w:sz w:val="36"/>
          <w:lang w:eastAsia="zh-CN"/>
        </w:rPr>
        <w:t>五、一般公共预算拨款支出预算表………………10</w:t>
      </w:r>
    </w:p>
    <w:p>
      <w:pPr>
        <w:pStyle w:val="2"/>
        <w:ind w:firstLine="360" w:firstLineChars="100"/>
        <w:rPr>
          <w:rFonts w:ascii="仿宋" w:hAnsi="仿宋" w:eastAsia="仿宋"/>
          <w:sz w:val="36"/>
          <w:lang w:eastAsia="zh-CN"/>
        </w:rPr>
      </w:pPr>
      <w:r>
        <w:rPr>
          <w:rFonts w:hint="eastAsia" w:ascii="仿宋" w:hAnsi="仿宋" w:eastAsia="仿宋"/>
          <w:sz w:val="36"/>
          <w:lang w:eastAsia="zh-CN"/>
        </w:rPr>
        <w:t>六、政府性基金预算拨款支出预算表……………11</w:t>
      </w:r>
    </w:p>
    <w:p>
      <w:pPr>
        <w:pStyle w:val="2"/>
        <w:ind w:firstLine="360" w:firstLineChars="100"/>
        <w:rPr>
          <w:rFonts w:ascii="仿宋" w:hAnsi="仿宋" w:eastAsia="仿宋"/>
          <w:sz w:val="36"/>
          <w:lang w:eastAsia="zh-CN"/>
        </w:rPr>
      </w:pPr>
      <w:r>
        <w:rPr>
          <w:rFonts w:hint="eastAsia" w:ascii="仿宋" w:hAnsi="仿宋" w:eastAsia="仿宋"/>
          <w:sz w:val="36"/>
          <w:lang w:eastAsia="zh-CN"/>
        </w:rPr>
        <w:t>七、国有资本经营预算拨款支出预算表…………12</w:t>
      </w:r>
    </w:p>
    <w:p>
      <w:pPr>
        <w:pStyle w:val="2"/>
        <w:ind w:firstLine="360" w:firstLineChars="100"/>
        <w:rPr>
          <w:rFonts w:ascii="仿宋" w:hAnsi="仿宋" w:eastAsia="仿宋"/>
          <w:sz w:val="36"/>
          <w:lang w:eastAsia="zh-CN"/>
        </w:rPr>
      </w:pPr>
      <w:r>
        <w:rPr>
          <w:rFonts w:hint="eastAsia" w:ascii="仿宋" w:hAnsi="仿宋" w:eastAsia="仿宋"/>
          <w:sz w:val="36"/>
          <w:lang w:eastAsia="zh-CN"/>
        </w:rPr>
        <w:t>八、一般公共预算支出经济分类情况表…………13</w:t>
      </w:r>
    </w:p>
    <w:p>
      <w:pPr>
        <w:pStyle w:val="2"/>
        <w:ind w:firstLine="360" w:firstLineChars="100"/>
        <w:rPr>
          <w:rFonts w:ascii="仿宋" w:hAnsi="仿宋" w:eastAsia="仿宋"/>
          <w:sz w:val="36"/>
          <w:lang w:eastAsia="zh-CN"/>
        </w:rPr>
      </w:pPr>
      <w:r>
        <w:rPr>
          <w:rFonts w:hint="eastAsia" w:ascii="仿宋" w:hAnsi="仿宋" w:eastAsia="仿宋"/>
          <w:sz w:val="36"/>
          <w:lang w:eastAsia="zh-CN"/>
        </w:rPr>
        <w:t>九、一般公共预算基本支出经济分类情况表……14</w:t>
      </w:r>
    </w:p>
    <w:p>
      <w:pPr>
        <w:pStyle w:val="2"/>
        <w:ind w:firstLine="360" w:firstLineChars="100"/>
        <w:rPr>
          <w:rFonts w:ascii="仿宋" w:hAnsi="仿宋" w:eastAsia="仿宋"/>
          <w:sz w:val="36"/>
          <w:lang w:eastAsia="zh-CN"/>
        </w:rPr>
      </w:pPr>
      <w:r>
        <w:rPr>
          <w:rFonts w:hint="eastAsia" w:ascii="仿宋" w:hAnsi="仿宋" w:eastAsia="仿宋"/>
          <w:sz w:val="36"/>
          <w:lang w:eastAsia="zh-CN"/>
        </w:rPr>
        <w:t>十、一般公共预算“三公”经费支出预算表……15</w:t>
      </w:r>
    </w:p>
    <w:p>
      <w:pPr>
        <w:pStyle w:val="2"/>
        <w:ind w:firstLine="360" w:firstLineChars="100"/>
        <w:rPr>
          <w:rFonts w:ascii="仿宋" w:hAnsi="仿宋" w:eastAsia="仿宋"/>
          <w:sz w:val="36"/>
          <w:lang w:eastAsia="zh-CN"/>
        </w:rPr>
      </w:pPr>
      <w:r>
        <w:rPr>
          <w:rFonts w:hint="eastAsia" w:ascii="仿宋" w:hAnsi="仿宋" w:eastAsia="仿宋"/>
          <w:sz w:val="36"/>
          <w:lang w:eastAsia="zh-CN"/>
        </w:rPr>
        <w:t>十一、部门专项资金管理清单目录………………16</w:t>
      </w:r>
    </w:p>
    <w:p>
      <w:pPr>
        <w:widowControl/>
        <w:rPr>
          <w:rFonts w:ascii="仿宋" w:hAnsi="仿宋" w:eastAsia="仿宋"/>
          <w:b/>
          <w:sz w:val="40"/>
        </w:rPr>
      </w:pPr>
      <w:r>
        <w:rPr>
          <w:rFonts w:hint="eastAsia" w:ascii="仿宋" w:hAnsi="仿宋" w:eastAsia="仿宋"/>
          <w:b/>
          <w:sz w:val="40"/>
        </w:rPr>
        <w:t>第三部分2022年度部门预算情况说明</w:t>
      </w:r>
      <w:r>
        <w:rPr>
          <w:rFonts w:hint="eastAsia" w:ascii="仿宋" w:hAnsi="仿宋" w:eastAsia="仿宋"/>
          <w:sz w:val="36"/>
        </w:rPr>
        <w:t>………18</w:t>
      </w:r>
    </w:p>
    <w:p>
      <w:pPr>
        <w:widowControl/>
        <w:ind w:firstLine="360" w:firstLineChars="100"/>
        <w:rPr>
          <w:rFonts w:ascii="仿宋" w:hAnsi="仿宋" w:eastAsia="仿宋" w:cs="Times New Roman"/>
          <w:kern w:val="0"/>
          <w:sz w:val="36"/>
          <w:szCs w:val="20"/>
        </w:rPr>
      </w:pPr>
      <w:r>
        <w:rPr>
          <w:rFonts w:hint="eastAsia" w:ascii="仿宋" w:hAnsi="仿宋" w:eastAsia="仿宋" w:cs="Times New Roman"/>
          <w:kern w:val="0"/>
          <w:sz w:val="36"/>
          <w:szCs w:val="20"/>
        </w:rPr>
        <w:t>一、预算收支总体情况</w:t>
      </w:r>
      <w:r>
        <w:rPr>
          <w:rFonts w:hint="eastAsia" w:ascii="仿宋" w:hAnsi="仿宋" w:eastAsia="仿宋"/>
          <w:sz w:val="36"/>
        </w:rPr>
        <w:t>…………………</w:t>
      </w:r>
      <w:r>
        <w:rPr>
          <w:rFonts w:hint="eastAsia" w:ascii="仿宋" w:hAnsi="仿宋" w:eastAsia="仿宋" w:cs="Times New Roman"/>
          <w:kern w:val="0"/>
          <w:sz w:val="36"/>
          <w:szCs w:val="20"/>
        </w:rPr>
        <w:t>…</w:t>
      </w:r>
      <w:r>
        <w:rPr>
          <w:rFonts w:hint="eastAsia" w:ascii="仿宋" w:hAnsi="仿宋" w:eastAsia="仿宋"/>
          <w:sz w:val="36"/>
        </w:rPr>
        <w:t>………19</w:t>
      </w:r>
    </w:p>
    <w:p>
      <w:pPr>
        <w:widowControl/>
        <w:ind w:firstLine="360" w:firstLineChars="100"/>
        <w:rPr>
          <w:rFonts w:ascii="仿宋" w:hAnsi="仿宋" w:eastAsia="仿宋" w:cs="Times New Roman"/>
          <w:kern w:val="0"/>
          <w:sz w:val="36"/>
          <w:szCs w:val="20"/>
        </w:rPr>
        <w:sectPr>
          <w:footerReference r:id="rId5" w:type="default"/>
          <w:pgSz w:w="11906" w:h="16838"/>
          <w:pgMar w:top="1440" w:right="1800" w:bottom="1440" w:left="1800" w:header="851" w:footer="992" w:gutter="0"/>
          <w:pgNumType w:start="1"/>
          <w:cols w:space="720" w:num="1"/>
          <w:docGrid w:type="lines" w:linePitch="312" w:charSpace="0"/>
        </w:sectPr>
      </w:pPr>
      <w:r>
        <w:rPr>
          <w:rFonts w:hint="eastAsia" w:ascii="仿宋" w:hAnsi="仿宋" w:eastAsia="仿宋" w:cs="Times New Roman"/>
          <w:kern w:val="0"/>
          <w:sz w:val="36"/>
          <w:szCs w:val="20"/>
        </w:rPr>
        <w:t>二、一般公共预算拨款支出情况…………………19</w:t>
      </w:r>
    </w:p>
    <w:p>
      <w:pPr>
        <w:widowControl/>
        <w:ind w:firstLine="360" w:firstLineChars="100"/>
        <w:rPr>
          <w:rFonts w:ascii="仿宋" w:hAnsi="仿宋" w:eastAsia="仿宋" w:cs="Times New Roman"/>
          <w:kern w:val="0"/>
          <w:sz w:val="36"/>
          <w:szCs w:val="20"/>
        </w:rPr>
      </w:pPr>
      <w:r>
        <w:rPr>
          <w:rFonts w:hint="eastAsia" w:ascii="仿宋" w:hAnsi="仿宋" w:eastAsia="仿宋" w:cs="Times New Roman"/>
          <w:kern w:val="0"/>
          <w:sz w:val="36"/>
          <w:szCs w:val="20"/>
        </w:rPr>
        <w:t>三、政府性基金预算拨款支出情况………………20</w:t>
      </w:r>
    </w:p>
    <w:p>
      <w:pPr>
        <w:widowControl/>
        <w:ind w:firstLine="360" w:firstLineChars="100"/>
        <w:rPr>
          <w:rFonts w:ascii="仿宋" w:hAnsi="仿宋" w:eastAsia="仿宋" w:cs="Times New Roman"/>
          <w:kern w:val="0"/>
          <w:sz w:val="36"/>
          <w:szCs w:val="20"/>
        </w:rPr>
      </w:pPr>
      <w:r>
        <w:rPr>
          <w:rFonts w:hint="eastAsia" w:ascii="仿宋" w:hAnsi="仿宋" w:eastAsia="仿宋" w:cs="Times New Roman"/>
          <w:kern w:val="0"/>
          <w:sz w:val="36"/>
          <w:szCs w:val="20"/>
        </w:rPr>
        <w:t>四、国有资本经营预算拨款支出情况……………20</w:t>
      </w:r>
    </w:p>
    <w:p>
      <w:pPr>
        <w:widowControl/>
        <w:ind w:firstLine="360" w:firstLineChars="100"/>
        <w:rPr>
          <w:rFonts w:ascii="仿宋" w:hAnsi="仿宋" w:eastAsia="仿宋" w:cs="Times New Roman"/>
          <w:kern w:val="0"/>
          <w:sz w:val="36"/>
          <w:szCs w:val="20"/>
        </w:rPr>
      </w:pPr>
      <w:r>
        <w:rPr>
          <w:rFonts w:hint="eastAsia" w:ascii="仿宋" w:hAnsi="仿宋" w:eastAsia="仿宋" w:cs="Times New Roman"/>
          <w:kern w:val="0"/>
          <w:sz w:val="36"/>
          <w:szCs w:val="20"/>
        </w:rPr>
        <w:t>五、财政拨款预算基本支出情况…………………20</w:t>
      </w:r>
    </w:p>
    <w:p>
      <w:pPr>
        <w:widowControl/>
        <w:ind w:firstLine="360" w:firstLineChars="100"/>
        <w:rPr>
          <w:rFonts w:ascii="仿宋" w:hAnsi="仿宋" w:eastAsia="仿宋" w:cs="Times New Roman"/>
          <w:kern w:val="0"/>
          <w:sz w:val="36"/>
          <w:szCs w:val="20"/>
        </w:rPr>
      </w:pPr>
      <w:r>
        <w:rPr>
          <w:rFonts w:hint="eastAsia" w:ascii="仿宋" w:hAnsi="仿宋" w:eastAsia="仿宋" w:cs="Times New Roman"/>
          <w:kern w:val="0"/>
          <w:sz w:val="36"/>
          <w:szCs w:val="20"/>
        </w:rPr>
        <w:t>六、一般公共预算“三公”经费支出情况………21</w:t>
      </w:r>
    </w:p>
    <w:p>
      <w:pPr>
        <w:widowControl/>
        <w:ind w:firstLine="360" w:firstLineChars="100"/>
        <w:rPr>
          <w:rFonts w:ascii="仿宋" w:hAnsi="仿宋" w:eastAsia="仿宋" w:cs="Times New Roman"/>
          <w:kern w:val="0"/>
          <w:sz w:val="36"/>
          <w:szCs w:val="20"/>
        </w:rPr>
      </w:pPr>
      <w:r>
        <w:rPr>
          <w:rFonts w:hint="eastAsia" w:ascii="仿宋" w:hAnsi="仿宋" w:eastAsia="仿宋" w:cs="Times New Roman"/>
          <w:kern w:val="0"/>
          <w:sz w:val="36"/>
          <w:szCs w:val="20"/>
        </w:rPr>
        <w:t>七、预算绩效目标情况……………………………21</w:t>
      </w:r>
    </w:p>
    <w:p>
      <w:pPr>
        <w:widowControl/>
        <w:ind w:firstLine="360" w:firstLineChars="100"/>
        <w:rPr>
          <w:rFonts w:ascii="仿宋" w:hAnsi="仿宋" w:eastAsia="仿宋" w:cs="Times New Roman"/>
          <w:kern w:val="0"/>
          <w:sz w:val="36"/>
          <w:szCs w:val="20"/>
        </w:rPr>
      </w:pPr>
      <w:r>
        <w:rPr>
          <w:rFonts w:hint="eastAsia" w:ascii="仿宋" w:hAnsi="仿宋" w:eastAsia="仿宋" w:cs="Times New Roman"/>
          <w:kern w:val="0"/>
          <w:sz w:val="36"/>
          <w:szCs w:val="20"/>
        </w:rPr>
        <w:t>八、其他重要事项说明……………………………26</w:t>
      </w:r>
    </w:p>
    <w:p>
      <w:pPr>
        <w:pStyle w:val="2"/>
        <w:spacing w:before="3"/>
        <w:rPr>
          <w:rFonts w:ascii="仿宋" w:hAnsi="仿宋" w:eastAsia="仿宋"/>
          <w:sz w:val="26"/>
          <w:lang w:eastAsia="zh-CN"/>
        </w:rPr>
      </w:pPr>
      <w:r>
        <w:rPr>
          <w:rFonts w:hint="eastAsia" w:ascii="仿宋" w:hAnsi="仿宋" w:eastAsia="仿宋"/>
          <w:b/>
          <w:sz w:val="40"/>
          <w:lang w:eastAsia="zh-CN"/>
        </w:rPr>
        <w:t>第四部分名词解释</w:t>
      </w:r>
      <w:r>
        <w:rPr>
          <w:rFonts w:hint="eastAsia" w:ascii="仿宋" w:hAnsi="仿宋" w:eastAsia="仿宋"/>
          <w:sz w:val="36"/>
          <w:lang w:eastAsia="zh-CN"/>
        </w:rPr>
        <w:t>…………………………………28</w:t>
      </w:r>
    </w:p>
    <w:p>
      <w:pPr>
        <w:widowControl/>
      </w:pPr>
      <w:r>
        <w:tab/>
      </w:r>
    </w:p>
    <w:p>
      <w:pPr>
        <w:pStyle w:val="2"/>
        <w:jc w:val="center"/>
        <w:rPr>
          <w:rFonts w:ascii="黑体" w:hAnsi="黑体" w:eastAsia="黑体"/>
          <w:sz w:val="36"/>
          <w:szCs w:val="36"/>
          <w:lang w:eastAsia="zh-CN"/>
        </w:rPr>
        <w:sectPr>
          <w:footerReference r:id="rId6" w:type="default"/>
          <w:pgSz w:w="11906" w:h="16838"/>
          <w:pgMar w:top="1440" w:right="1800" w:bottom="1440" w:left="1800" w:header="851" w:footer="992" w:gutter="0"/>
          <w:pgNumType w:start="1"/>
          <w:cols w:space="720" w:num="1"/>
          <w:docGrid w:type="lines" w:linePitch="312" w:charSpace="0"/>
        </w:sect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rPr>
          <w:rFonts w:ascii="黑体" w:hAnsi="黑体" w:eastAsia="黑体"/>
          <w:sz w:val="56"/>
          <w:szCs w:val="36"/>
          <w:lang w:eastAsia="zh-CN"/>
        </w:rPr>
      </w:pPr>
      <w:r>
        <w:rPr>
          <w:rFonts w:hint="eastAsia" w:ascii="黑体" w:hAnsi="黑体" w:eastAsia="黑体"/>
          <w:sz w:val="56"/>
          <w:szCs w:val="36"/>
          <w:lang w:eastAsia="zh-CN"/>
        </w:rPr>
        <w:t>第一部分</w:t>
      </w:r>
    </w:p>
    <w:p>
      <w:pPr>
        <w:pStyle w:val="2"/>
        <w:jc w:val="center"/>
        <w:rPr>
          <w:rFonts w:ascii="黑体" w:hAnsi="黑体" w:eastAsia="黑体"/>
          <w:sz w:val="56"/>
          <w:szCs w:val="36"/>
          <w:lang w:eastAsia="zh-CN"/>
        </w:rPr>
      </w:pPr>
      <w:r>
        <w:rPr>
          <w:rFonts w:hint="eastAsia" w:ascii="黑体" w:hAnsi="黑体" w:eastAsia="黑体"/>
          <w:sz w:val="56"/>
          <w:szCs w:val="36"/>
          <w:lang w:eastAsia="zh-CN"/>
        </w:rPr>
        <w:t>部门概况</w:t>
      </w:r>
    </w:p>
    <w:p>
      <w:pPr>
        <w:pStyle w:val="2"/>
        <w:rPr>
          <w:rFonts w:ascii="黑体" w:hAnsi="黑体" w:eastAsia="黑体"/>
          <w:sz w:val="36"/>
          <w:szCs w:val="36"/>
          <w:lang w:eastAsia="zh-CN"/>
        </w:rPr>
      </w:pPr>
    </w:p>
    <w:p>
      <w:pPr>
        <w:widowControl/>
        <w:spacing w:line="240" w:lineRule="auto"/>
        <w:jc w:val="left"/>
        <w:rPr>
          <w:rFonts w:ascii="黑体" w:hAnsi="黑体" w:eastAsia="黑体"/>
          <w:sz w:val="32"/>
          <w:szCs w:val="32"/>
        </w:rPr>
        <w:sectPr>
          <w:footerReference r:id="rId7" w:type="default"/>
          <w:pgSz w:w="11906" w:h="16838"/>
          <w:pgMar w:top="1440" w:right="1800" w:bottom="1440" w:left="1800" w:header="851" w:footer="992" w:gutter="0"/>
          <w:pgNumType w:start="1"/>
          <w:cols w:space="720" w:num="1"/>
          <w:docGrid w:type="lines" w:linePitch="312" w:charSpace="0"/>
        </w:sectPr>
      </w:pPr>
    </w:p>
    <w:p>
      <w:pPr>
        <w:pStyle w:val="2"/>
        <w:rPr>
          <w:rFonts w:ascii="黑体" w:hAnsi="黑体" w:eastAsia="黑体" w:cstheme="minorBidi"/>
          <w:kern w:val="2"/>
          <w:sz w:val="32"/>
          <w:szCs w:val="32"/>
          <w:lang w:eastAsia="zh-CN"/>
        </w:rPr>
      </w:pPr>
      <w:r>
        <w:rPr>
          <w:rFonts w:hint="eastAsia" w:ascii="黑体" w:hAnsi="黑体" w:eastAsia="黑体" w:cstheme="minorBidi"/>
          <w:kern w:val="2"/>
          <w:sz w:val="32"/>
          <w:szCs w:val="32"/>
          <w:lang w:eastAsia="zh-CN"/>
        </w:rPr>
        <w:t>一、部门主要职责</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平潭综合实验区应急事务中心的主要职责是：</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（一）承担全区防汛抢险、抗旱方面的事务性、辅助性、技术性工作。</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（二）承担全区防震减灾、地质灾害应急与救援方面的事务性、辅助性工作。</w:t>
      </w:r>
    </w:p>
    <w:p>
      <w:pPr>
        <w:ind w:firstLine="640" w:firstLineChars="200"/>
        <w:rPr>
          <w:rFonts w:ascii="仿宋" w:hAnsi="仿宋" w:eastAsia="仿宋"/>
          <w:sz w:val="32"/>
          <w:szCs w:val="32"/>
        </w:rPr>
      </w:pPr>
      <w:r>
        <w:rPr>
          <w:rFonts w:hint="eastAsia" w:ascii="仿宋" w:hAnsi="仿宋" w:eastAsia="仿宋"/>
          <w:sz w:val="32"/>
          <w:szCs w:val="32"/>
        </w:rPr>
        <w:t>（三）承担全区安全生产方面的技术性、勤务性保障服务工作。</w:t>
      </w:r>
    </w:p>
    <w:p>
      <w:pPr>
        <w:ind w:firstLine="640" w:firstLineChars="200"/>
        <w:rPr>
          <w:rFonts w:ascii="仿宋" w:hAnsi="仿宋" w:eastAsia="仿宋"/>
          <w:sz w:val="32"/>
          <w:szCs w:val="32"/>
        </w:rPr>
      </w:pPr>
      <w:r>
        <w:rPr>
          <w:rFonts w:hint="eastAsia" w:ascii="仿宋" w:hAnsi="仿宋" w:eastAsia="仿宋"/>
          <w:sz w:val="32"/>
          <w:szCs w:val="32"/>
        </w:rPr>
        <w:t>（四）承担全区森林火灾应急与救援方面的事务性、辅助性工作。</w:t>
      </w:r>
    </w:p>
    <w:p>
      <w:pPr>
        <w:ind w:firstLine="640" w:firstLineChars="200"/>
        <w:rPr>
          <w:rFonts w:ascii="仿宋" w:hAnsi="仿宋" w:eastAsia="仿宋"/>
          <w:sz w:val="32"/>
          <w:szCs w:val="32"/>
        </w:rPr>
      </w:pPr>
      <w:r>
        <w:rPr>
          <w:rFonts w:hint="eastAsia" w:ascii="仿宋" w:hAnsi="仿宋" w:eastAsia="仿宋"/>
          <w:sz w:val="32"/>
          <w:szCs w:val="32"/>
        </w:rPr>
        <w:t>（五）完成区党工委和区管委会交办的其他任务。</w:t>
      </w: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二、部门预算单位构成</w:t>
      </w:r>
    </w:p>
    <w:p>
      <w:pPr>
        <w:tabs>
          <w:tab w:val="left" w:pos="7513"/>
        </w:tabs>
        <w:adjustRightInd w:val="0"/>
        <w:snapToGrid w:val="0"/>
        <w:spacing w:line="600" w:lineRule="exact"/>
        <w:rPr>
          <w:rFonts w:ascii="仿宋" w:hAnsi="仿宋" w:eastAsia="仿宋"/>
          <w:sz w:val="32"/>
          <w:szCs w:val="32"/>
        </w:rPr>
      </w:pPr>
      <w:r>
        <w:rPr>
          <w:rFonts w:hint="eastAsia" w:ascii="仿宋" w:hAnsi="仿宋" w:eastAsia="仿宋" w:cs="仿宋_GB2312"/>
          <w:sz w:val="32"/>
          <w:szCs w:val="32"/>
        </w:rPr>
        <w:t xml:space="preserve">    从预算单位构成看，</w:t>
      </w:r>
      <w:r>
        <w:rPr>
          <w:rFonts w:hint="eastAsia" w:ascii="仿宋" w:hAnsi="仿宋" w:eastAsia="仿宋"/>
          <w:sz w:val="32"/>
          <w:szCs w:val="32"/>
        </w:rPr>
        <w:t>平潭综合实验区应急事务中心包括</w:t>
      </w:r>
      <w:r>
        <w:rPr>
          <w:rFonts w:hint="eastAsia" w:ascii="仿宋" w:hAnsi="仿宋" w:eastAsia="仿宋" w:cs="仿宋_GB2312"/>
          <w:sz w:val="32"/>
          <w:szCs w:val="32"/>
        </w:rPr>
        <w:t>5个</w:t>
      </w:r>
      <w:r>
        <w:rPr>
          <w:rFonts w:hint="eastAsia" w:ascii="仿宋" w:hAnsi="仿宋" w:eastAsia="仿宋"/>
          <w:sz w:val="32"/>
          <w:szCs w:val="32"/>
        </w:rPr>
        <w:t>内设科室及</w:t>
      </w:r>
      <w:r>
        <w:rPr>
          <w:rFonts w:hint="eastAsia" w:ascii="仿宋" w:hAnsi="仿宋" w:eastAsia="仿宋" w:cs="仿宋_GB2312"/>
          <w:sz w:val="32"/>
          <w:szCs w:val="32"/>
        </w:rPr>
        <w:t>0</w:t>
      </w:r>
      <w:r>
        <w:rPr>
          <w:rFonts w:hint="eastAsia" w:ascii="仿宋" w:hAnsi="仿宋" w:eastAsia="仿宋"/>
          <w:sz w:val="32"/>
          <w:szCs w:val="32"/>
        </w:rPr>
        <w:t>个下属单位，其中：列入</w:t>
      </w:r>
      <w:r>
        <w:rPr>
          <w:rFonts w:hint="eastAsia" w:ascii="仿宋" w:hAnsi="仿宋" w:eastAsia="仿宋" w:cs="仿宋_GB2312"/>
          <w:sz w:val="32"/>
          <w:szCs w:val="32"/>
        </w:rPr>
        <w:t>2022</w:t>
      </w:r>
      <w:r>
        <w:rPr>
          <w:rFonts w:hint="eastAsia" w:ascii="仿宋" w:hAnsi="仿宋" w:eastAsia="仿宋"/>
          <w:sz w:val="32"/>
          <w:szCs w:val="32"/>
        </w:rPr>
        <w:t>年部门预算编制范围的单位详细情况见下表:</w:t>
      </w:r>
    </w:p>
    <w:tbl>
      <w:tblPr>
        <w:tblStyle w:val="6"/>
        <w:tblW w:w="8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08"/>
        <w:gridCol w:w="2187"/>
        <w:gridCol w:w="2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08"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单位名称</w:t>
            </w:r>
          </w:p>
        </w:tc>
        <w:tc>
          <w:tcPr>
            <w:tcW w:w="2187"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经费性质</w:t>
            </w:r>
          </w:p>
        </w:tc>
        <w:tc>
          <w:tcPr>
            <w:tcW w:w="2085"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在职人数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08"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sz w:val="32"/>
                <w:szCs w:val="32"/>
              </w:rPr>
            </w:pPr>
            <w:r>
              <w:rPr>
                <w:rFonts w:hint="eastAsia" w:ascii="仿宋" w:hAnsi="仿宋" w:eastAsia="仿宋"/>
                <w:sz w:val="32"/>
                <w:szCs w:val="32"/>
              </w:rPr>
              <w:t>平潭综合实验区应急事务中心</w:t>
            </w:r>
          </w:p>
        </w:tc>
        <w:tc>
          <w:tcPr>
            <w:tcW w:w="2187"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财政核拨</w:t>
            </w:r>
          </w:p>
        </w:tc>
        <w:tc>
          <w:tcPr>
            <w:tcW w:w="2085"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jc w:val="center"/>
              <w:rPr>
                <w:rFonts w:ascii="仿宋" w:hAnsi="仿宋" w:eastAsia="仿宋"/>
                <w:sz w:val="32"/>
                <w:szCs w:val="32"/>
              </w:rPr>
            </w:pPr>
            <w:r>
              <w:rPr>
                <w:rFonts w:hint="eastAsia" w:ascii="仿宋" w:hAnsi="仿宋" w:eastAsia="仿宋"/>
                <w:sz w:val="32"/>
                <w:szCs w:val="32"/>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08"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sz w:val="32"/>
                <w:szCs w:val="32"/>
              </w:rPr>
            </w:pPr>
          </w:p>
        </w:tc>
        <w:tc>
          <w:tcPr>
            <w:tcW w:w="2187"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sz w:val="32"/>
                <w:szCs w:val="32"/>
              </w:rPr>
            </w:pPr>
          </w:p>
        </w:tc>
        <w:tc>
          <w:tcPr>
            <w:tcW w:w="2085"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408"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sz w:val="32"/>
                <w:szCs w:val="32"/>
              </w:rPr>
            </w:pPr>
          </w:p>
        </w:tc>
        <w:tc>
          <w:tcPr>
            <w:tcW w:w="2187"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sz w:val="32"/>
                <w:szCs w:val="32"/>
              </w:rPr>
            </w:pPr>
          </w:p>
        </w:tc>
        <w:tc>
          <w:tcPr>
            <w:tcW w:w="2085" w:type="dxa"/>
            <w:tcBorders>
              <w:top w:val="single" w:color="auto" w:sz="4" w:space="0"/>
              <w:left w:val="single" w:color="auto" w:sz="4" w:space="0"/>
              <w:bottom w:val="single" w:color="auto" w:sz="4" w:space="0"/>
              <w:right w:val="single" w:color="auto" w:sz="4" w:space="0"/>
            </w:tcBorders>
          </w:tcPr>
          <w:p>
            <w:pPr>
              <w:tabs>
                <w:tab w:val="left" w:pos="7513"/>
              </w:tabs>
              <w:adjustRightInd w:val="0"/>
              <w:snapToGrid w:val="0"/>
              <w:spacing w:line="600" w:lineRule="exact"/>
              <w:rPr>
                <w:rFonts w:ascii="仿宋" w:hAnsi="仿宋" w:eastAsia="仿宋"/>
                <w:sz w:val="32"/>
                <w:szCs w:val="32"/>
              </w:rPr>
            </w:pPr>
          </w:p>
        </w:tc>
      </w:tr>
    </w:tbl>
    <w:p>
      <w:pPr>
        <w:tabs>
          <w:tab w:val="left" w:pos="7513"/>
        </w:tabs>
        <w:adjustRightInd w:val="0"/>
        <w:snapToGrid w:val="0"/>
        <w:spacing w:line="600" w:lineRule="exact"/>
        <w:rPr>
          <w:rFonts w:cs="Times New Roman" w:asciiTheme="majorEastAsia" w:hAnsiTheme="majorEastAsia" w:eastAsiaTheme="majorEastAsia"/>
          <w:kern w:val="0"/>
          <w:sz w:val="36"/>
          <w:szCs w:val="20"/>
        </w:r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三、部门主要工作任务</w:t>
      </w:r>
    </w:p>
    <w:p>
      <w:pPr>
        <w:tabs>
          <w:tab w:val="left" w:pos="7513"/>
        </w:tabs>
        <w:adjustRightInd w:val="0"/>
        <w:snapToGrid w:val="0"/>
        <w:spacing w:line="600" w:lineRule="exact"/>
        <w:rPr>
          <w:rFonts w:ascii="仿宋_GB2312" w:hAnsi="仿宋_GB2312" w:eastAsia="仿宋_GB2312" w:cs="仿宋_GB2312"/>
          <w:sz w:val="32"/>
          <w:szCs w:val="32"/>
        </w:rPr>
      </w:pPr>
      <w:r>
        <w:rPr>
          <w:rFonts w:hint="eastAsia" w:ascii="仿宋" w:hAnsi="仿宋" w:eastAsia="仿宋" w:cs="仿宋_GB2312"/>
          <w:sz w:val="32"/>
          <w:szCs w:val="32"/>
        </w:rPr>
        <w:t xml:space="preserve">    2022</w:t>
      </w:r>
      <w:r>
        <w:rPr>
          <w:rFonts w:hint="eastAsia" w:ascii="仿宋" w:hAnsi="仿宋" w:eastAsia="仿宋"/>
          <w:sz w:val="32"/>
          <w:szCs w:val="32"/>
        </w:rPr>
        <w:t>年，平潭综合实验区应急事务中心主要任务是：</w:t>
      </w:r>
      <w:r>
        <w:rPr>
          <w:rFonts w:hint="eastAsia" w:ascii="仿宋_GB2312" w:hAnsi="Calibri" w:eastAsia="仿宋_GB2312" w:cs="Times New Roman"/>
          <w:sz w:val="32"/>
          <w:szCs w:val="32"/>
        </w:rPr>
        <w:t>继续</w:t>
      </w:r>
      <w:r>
        <w:rPr>
          <w:rFonts w:hint="eastAsia" w:ascii="仿宋_GB2312" w:hAnsi="仿宋_GB2312" w:eastAsia="仿宋_GB2312" w:cs="仿宋_GB2312"/>
          <w:sz w:val="32"/>
          <w:szCs w:val="32"/>
        </w:rPr>
        <w:t>以习近平新时代中国特色社会主义思想为引领，增强“四个意识”、坚定“四个自信”、做到“两个维护”，在区党工委、管委会的坚强领导下，紧紧围绕保障中心、服务大局，始终坚持“人民至上，生命至上”的理念，抓实抓细防汛防台风、森林防灭火、安全生产保障、防震减灾等各项应急事务工作，用实际行动当好人民群众“守夜人”。</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围绕上述任务，重点抓好以下工作：</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（一）</w:t>
      </w:r>
      <w:r>
        <w:rPr>
          <w:rFonts w:hint="eastAsia" w:ascii="仿宋" w:hAnsi="仿宋" w:eastAsia="仿宋" w:cs="仿宋_GB2312"/>
          <w:sz w:val="32"/>
          <w:szCs w:val="32"/>
        </w:rPr>
        <w:t>充分发挥思想引领作用</w:t>
      </w:r>
      <w:r>
        <w:rPr>
          <w:rFonts w:hint="eastAsia" w:ascii="仿宋" w:hAnsi="仿宋" w:eastAsia="仿宋"/>
          <w:sz w:val="32"/>
          <w:szCs w:val="32"/>
        </w:rPr>
        <w:t>。进一步落实全面从严治党、意识形态工作责任制，强化理论学习，加强党风廉政建设。</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（二）</w:t>
      </w:r>
      <w:r>
        <w:rPr>
          <w:rFonts w:hint="eastAsia" w:ascii="仿宋" w:hAnsi="仿宋" w:eastAsia="仿宋" w:cs="仿宋_GB2312"/>
          <w:sz w:val="32"/>
          <w:szCs w:val="32"/>
        </w:rPr>
        <w:t>不断夯实应急保障基础</w:t>
      </w:r>
      <w:r>
        <w:rPr>
          <w:rFonts w:hint="eastAsia" w:ascii="仿宋" w:hAnsi="仿宋" w:eastAsia="仿宋"/>
          <w:sz w:val="32"/>
          <w:szCs w:val="32"/>
        </w:rPr>
        <w:t>。继续做好防汛抗旱保障工作，努力强化防震减灾保障基础，扎实推进安全生产保障工作，持续提升森林火灾救援力量。</w:t>
      </w:r>
    </w:p>
    <w:p>
      <w:pPr>
        <w:ind w:firstLine="640" w:firstLineChars="200"/>
        <w:rPr>
          <w:rFonts w:ascii="仿宋" w:hAnsi="仿宋" w:eastAsia="仿宋" w:cs="仿宋_GB2312"/>
          <w:sz w:val="32"/>
          <w:szCs w:val="32"/>
        </w:rPr>
      </w:pPr>
    </w:p>
    <w:p>
      <w:pPr>
        <w:widowControl/>
        <w:spacing w:line="240" w:lineRule="auto"/>
        <w:jc w:val="left"/>
        <w:rPr>
          <w:rFonts w:ascii="黑体" w:hAnsi="黑体" w:eastAsia="黑体" w:cs="Times New Roman"/>
          <w:kern w:val="0"/>
          <w:sz w:val="36"/>
          <w:szCs w:val="36"/>
        </w:rPr>
        <w:sectPr>
          <w:pgSz w:w="11906" w:h="16838"/>
          <w:pgMar w:top="1440" w:right="1800" w:bottom="1440" w:left="1800" w:header="851" w:footer="992" w:gutter="0"/>
          <w:cols w:space="720" w:num="1"/>
          <w:docGrid w:type="lines" w:linePitch="312" w:charSpace="0"/>
        </w:sect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rPr>
          <w:rFonts w:ascii="黑体" w:hAnsi="黑体" w:eastAsia="黑体"/>
          <w:sz w:val="56"/>
          <w:szCs w:val="36"/>
          <w:lang w:eastAsia="zh-CN"/>
        </w:rPr>
      </w:pPr>
      <w:r>
        <w:rPr>
          <w:rFonts w:hint="eastAsia" w:ascii="黑体" w:hAnsi="黑体" w:eastAsia="黑体"/>
          <w:sz w:val="56"/>
          <w:szCs w:val="36"/>
          <w:lang w:eastAsia="zh-CN"/>
        </w:rPr>
        <w:t>第二部分</w:t>
      </w:r>
    </w:p>
    <w:p>
      <w:pPr>
        <w:pStyle w:val="2"/>
        <w:jc w:val="center"/>
        <w:rPr>
          <w:rFonts w:ascii="黑体" w:hAnsi="黑体" w:eastAsia="黑体"/>
          <w:sz w:val="56"/>
          <w:szCs w:val="36"/>
          <w:lang w:eastAsia="zh-CN"/>
        </w:rPr>
      </w:pPr>
      <w:r>
        <w:rPr>
          <w:rFonts w:hint="eastAsia" w:ascii="黑体" w:hAnsi="黑体" w:eastAsia="黑体"/>
          <w:sz w:val="56"/>
          <w:szCs w:val="36"/>
          <w:lang w:eastAsia="zh-CN"/>
        </w:rPr>
        <w:t>2022年度部门预算表</w:t>
      </w:r>
    </w:p>
    <w:p>
      <w:pPr>
        <w:widowControl/>
        <w:spacing w:line="240" w:lineRule="auto"/>
        <w:jc w:val="left"/>
        <w:rPr>
          <w:rFonts w:asciiTheme="majorEastAsia" w:hAnsiTheme="majorEastAsia" w:eastAsiaTheme="majorEastAsia"/>
          <w:sz w:val="36"/>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楷体" w:hAnsi="楷体" w:eastAsia="楷体"/>
          <w:sz w:val="28"/>
          <w:szCs w:val="28"/>
        </w:rPr>
      </w:pPr>
      <w:r>
        <w:rPr>
          <w:rFonts w:hint="eastAsia" w:ascii="黑体" w:hAnsi="黑体" w:eastAsia="黑体"/>
          <w:sz w:val="32"/>
          <w:szCs w:val="32"/>
        </w:rPr>
        <w:t>一、收支预算总表</w:t>
      </w:r>
    </w:p>
    <w:tbl>
      <w:tblPr>
        <w:tblStyle w:val="6"/>
        <w:tblW w:w="8789" w:type="dxa"/>
        <w:tblInd w:w="-34" w:type="dxa"/>
        <w:tblLayout w:type="fixed"/>
        <w:tblCellMar>
          <w:top w:w="0" w:type="dxa"/>
          <w:left w:w="108" w:type="dxa"/>
          <w:bottom w:w="0" w:type="dxa"/>
          <w:right w:w="108" w:type="dxa"/>
        </w:tblCellMar>
      </w:tblPr>
      <w:tblGrid>
        <w:gridCol w:w="2977"/>
        <w:gridCol w:w="1276"/>
        <w:gridCol w:w="3260"/>
        <w:gridCol w:w="1276"/>
      </w:tblGrid>
      <w:tr>
        <w:tblPrEx>
          <w:tblCellMar>
            <w:top w:w="0" w:type="dxa"/>
            <w:left w:w="108" w:type="dxa"/>
            <w:bottom w:w="0" w:type="dxa"/>
            <w:right w:w="108" w:type="dxa"/>
          </w:tblCellMar>
        </w:tblPrEx>
        <w:trPr>
          <w:trHeight w:val="405" w:hRule="atLeast"/>
        </w:trPr>
        <w:tc>
          <w:tcPr>
            <w:tcW w:w="8789" w:type="dxa"/>
            <w:gridSpan w:val="4"/>
            <w:noWrap/>
            <w:vAlign w:val="center"/>
          </w:tcPr>
          <w:p>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rPr>
              <w:t>2022年度收支预算总表</w:t>
            </w:r>
          </w:p>
        </w:tc>
      </w:tr>
      <w:tr>
        <w:tblPrEx>
          <w:tblCellMar>
            <w:top w:w="0" w:type="dxa"/>
            <w:left w:w="108" w:type="dxa"/>
            <w:bottom w:w="0" w:type="dxa"/>
            <w:right w:w="108" w:type="dxa"/>
          </w:tblCellMar>
        </w:tblPrEx>
        <w:trPr>
          <w:trHeight w:val="285" w:hRule="atLeast"/>
        </w:trPr>
        <w:tc>
          <w:tcPr>
            <w:tcW w:w="8789" w:type="dxa"/>
            <w:gridSpan w:val="4"/>
            <w:noWrap/>
            <w:vAlign w:val="bottom"/>
          </w:tcPr>
          <w:p>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2"/>
                <w:szCs w:val="24"/>
              </w:rPr>
              <w:t>单位：万元</w:t>
            </w:r>
          </w:p>
        </w:tc>
      </w:tr>
      <w:tr>
        <w:tblPrEx>
          <w:tblCellMar>
            <w:top w:w="0" w:type="dxa"/>
            <w:left w:w="108" w:type="dxa"/>
            <w:bottom w:w="0" w:type="dxa"/>
            <w:right w:w="108" w:type="dxa"/>
          </w:tblCellMar>
        </w:tblPrEx>
        <w:trPr>
          <w:trHeight w:val="402" w:hRule="atLeast"/>
        </w:trPr>
        <w:tc>
          <w:tcPr>
            <w:tcW w:w="4253"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收入</w:t>
            </w:r>
          </w:p>
        </w:tc>
        <w:tc>
          <w:tcPr>
            <w:tcW w:w="4536"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支出</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1276"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c>
          <w:tcPr>
            <w:tcW w:w="3260"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1276"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一、一般公共预算拨款收入</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526.45</w:t>
            </w: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一、一般公共服务支出</w:t>
            </w:r>
          </w:p>
        </w:tc>
        <w:tc>
          <w:tcPr>
            <w:tcW w:w="1276"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二、政府性基金预算拨款收入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二、外交支出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三、国有资本经营预算拨款收入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三、国防支出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四、财政专户管理资金收入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四、公共安全支出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五、事业收入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五、教育支出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六、事业单位经营收入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六、科学技术支出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七、上级补助收入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七、文化旅游体育与传媒支出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八、附属单位上缴收入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八、社会保障和就业支出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34.04</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九、其他收入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九、卫生健康支出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十、上年结转结余</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十、节能环保支出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十一、城乡社区支出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十二、农林水支出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58</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十三、交通运输支出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十四、资源勘探工业信息等支出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十五、商业服务业等支出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十六、金融支出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十七、援助其他地区支出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十八、自然资源海洋气象等支出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十九、住房保障支出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62.88</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二十、粮油物资储备支出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二十一、灾害防治及应急管理支出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371.53</w:t>
            </w:r>
          </w:p>
        </w:tc>
      </w:tr>
      <w:tr>
        <w:tblPrEx>
          <w:tblCellMar>
            <w:top w:w="0" w:type="dxa"/>
            <w:left w:w="108" w:type="dxa"/>
            <w:bottom w:w="0" w:type="dxa"/>
            <w:right w:w="108" w:type="dxa"/>
          </w:tblCellMar>
        </w:tblPrEx>
        <w:trPr>
          <w:trHeight w:val="458"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二十二、其他支出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二十三、债务还本支出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二十四、债务付息支出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二十五、债务发行费用支出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收入合计</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526.45</w:t>
            </w:r>
          </w:p>
        </w:tc>
        <w:tc>
          <w:tcPr>
            <w:tcW w:w="3260"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支出合计</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526.45</w:t>
            </w:r>
          </w:p>
        </w:tc>
      </w:tr>
    </w:tbl>
    <w:p>
      <w:pPr>
        <w:widowControl/>
        <w:spacing w:line="300" w:lineRule="auto"/>
        <w:jc w:val="left"/>
        <w:rPr>
          <w:rFonts w:ascii="楷体" w:hAnsi="楷体" w:eastAsia="楷体" w:cs="Times New Roman"/>
          <w:kern w:val="0"/>
          <w:sz w:val="32"/>
          <w:szCs w:val="21"/>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二、收入预算总表</w:t>
      </w:r>
    </w:p>
    <w:tbl>
      <w:tblPr>
        <w:tblStyle w:val="6"/>
        <w:tblW w:w="13907" w:type="dxa"/>
        <w:tblInd w:w="93" w:type="dxa"/>
        <w:tblLayout w:type="fixed"/>
        <w:tblCellMar>
          <w:top w:w="0" w:type="dxa"/>
          <w:left w:w="108" w:type="dxa"/>
          <w:bottom w:w="0" w:type="dxa"/>
          <w:right w:w="108" w:type="dxa"/>
        </w:tblCellMar>
      </w:tblPr>
      <w:tblGrid>
        <w:gridCol w:w="1149"/>
        <w:gridCol w:w="91"/>
        <w:gridCol w:w="2603"/>
        <w:gridCol w:w="1134"/>
        <w:gridCol w:w="1134"/>
        <w:gridCol w:w="1134"/>
        <w:gridCol w:w="1134"/>
        <w:gridCol w:w="1134"/>
        <w:gridCol w:w="567"/>
        <w:gridCol w:w="850"/>
        <w:gridCol w:w="709"/>
        <w:gridCol w:w="850"/>
        <w:gridCol w:w="567"/>
        <w:gridCol w:w="851"/>
      </w:tblGrid>
      <w:tr>
        <w:tblPrEx>
          <w:tblCellMar>
            <w:top w:w="0" w:type="dxa"/>
            <w:left w:w="108" w:type="dxa"/>
            <w:bottom w:w="0" w:type="dxa"/>
            <w:right w:w="108" w:type="dxa"/>
          </w:tblCellMar>
        </w:tblPrEx>
        <w:trPr>
          <w:trHeight w:val="582" w:hRule="atLeast"/>
        </w:trPr>
        <w:tc>
          <w:tcPr>
            <w:tcW w:w="13907" w:type="dxa"/>
            <w:gridSpan w:val="14"/>
          </w:tcPr>
          <w:p>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rPr>
              <w:t>2022年度收入预算总表</w:t>
            </w:r>
          </w:p>
        </w:tc>
      </w:tr>
      <w:tr>
        <w:tblPrEx>
          <w:tblCellMar>
            <w:top w:w="0" w:type="dxa"/>
            <w:left w:w="108" w:type="dxa"/>
            <w:bottom w:w="0" w:type="dxa"/>
            <w:right w:w="108" w:type="dxa"/>
          </w:tblCellMar>
        </w:tblPrEx>
        <w:trPr>
          <w:trHeight w:val="510" w:hRule="atLeast"/>
        </w:trPr>
        <w:tc>
          <w:tcPr>
            <w:tcW w:w="1240" w:type="dxa"/>
            <w:gridSpan w:val="2"/>
            <w:tcBorders>
              <w:top w:val="nil"/>
              <w:left w:val="nil"/>
              <w:bottom w:val="single" w:color="auto" w:sz="4" w:space="0"/>
              <w:right w:val="nil"/>
            </w:tcBorders>
            <w:noWrap/>
            <w:vAlign w:val="bottom"/>
          </w:tcPr>
          <w:p>
            <w:pPr>
              <w:widowControl/>
              <w:spacing w:line="240" w:lineRule="auto"/>
              <w:jc w:val="left"/>
              <w:rPr>
                <w:rFonts w:ascii="宋体" w:hAnsi="宋体" w:eastAsia="宋体" w:cs="宋体"/>
                <w:kern w:val="0"/>
                <w:sz w:val="24"/>
                <w:szCs w:val="24"/>
              </w:rPr>
            </w:pPr>
          </w:p>
        </w:tc>
        <w:tc>
          <w:tcPr>
            <w:tcW w:w="2603" w:type="dxa"/>
            <w:tcBorders>
              <w:top w:val="nil"/>
              <w:left w:val="nil"/>
              <w:bottom w:val="single" w:color="auto" w:sz="4" w:space="0"/>
              <w:right w:val="nil"/>
            </w:tcBorders>
            <w:noWrap/>
            <w:vAlign w:val="bottom"/>
          </w:tcPr>
          <w:p>
            <w:pPr>
              <w:widowControl/>
              <w:spacing w:line="240" w:lineRule="auto"/>
              <w:jc w:val="left"/>
              <w:rPr>
                <w:rFonts w:ascii="宋体" w:hAnsi="宋体" w:eastAsia="宋体" w:cs="宋体"/>
                <w:kern w:val="0"/>
                <w:sz w:val="24"/>
                <w:szCs w:val="24"/>
              </w:rPr>
            </w:pPr>
          </w:p>
        </w:tc>
        <w:tc>
          <w:tcPr>
            <w:tcW w:w="1134" w:type="dxa"/>
            <w:tcBorders>
              <w:top w:val="nil"/>
              <w:left w:val="nil"/>
              <w:bottom w:val="single" w:color="auto" w:sz="4" w:space="0"/>
              <w:right w:val="nil"/>
            </w:tcBorders>
            <w:vAlign w:val="center"/>
          </w:tcPr>
          <w:p>
            <w:pPr>
              <w:widowControl/>
              <w:spacing w:line="240" w:lineRule="auto"/>
              <w:jc w:val="center"/>
              <w:rPr>
                <w:rFonts w:ascii="黑体" w:hAnsi="黑体" w:eastAsia="黑体" w:cs="宋体"/>
                <w:kern w:val="0"/>
                <w:sz w:val="40"/>
                <w:szCs w:val="40"/>
              </w:rPr>
            </w:pPr>
          </w:p>
        </w:tc>
        <w:tc>
          <w:tcPr>
            <w:tcW w:w="1134" w:type="dxa"/>
            <w:tcBorders>
              <w:top w:val="nil"/>
              <w:left w:val="nil"/>
              <w:bottom w:val="single" w:color="auto" w:sz="4" w:space="0"/>
              <w:right w:val="nil"/>
            </w:tcBorders>
            <w:vAlign w:val="center"/>
          </w:tcPr>
          <w:p>
            <w:pPr>
              <w:widowControl/>
              <w:spacing w:line="240" w:lineRule="auto"/>
              <w:jc w:val="center"/>
              <w:rPr>
                <w:rFonts w:ascii="宋体" w:hAnsi="宋体" w:eastAsia="宋体" w:cs="宋体"/>
                <w:kern w:val="0"/>
                <w:sz w:val="24"/>
                <w:szCs w:val="24"/>
              </w:rPr>
            </w:pPr>
          </w:p>
        </w:tc>
        <w:tc>
          <w:tcPr>
            <w:tcW w:w="1134" w:type="dxa"/>
            <w:tcBorders>
              <w:top w:val="nil"/>
              <w:left w:val="nil"/>
              <w:bottom w:val="single" w:color="auto" w:sz="4" w:space="0"/>
              <w:right w:val="nil"/>
            </w:tcBorders>
            <w:vAlign w:val="center"/>
          </w:tcPr>
          <w:p>
            <w:pPr>
              <w:widowControl/>
              <w:spacing w:line="240" w:lineRule="auto"/>
              <w:jc w:val="center"/>
              <w:rPr>
                <w:rFonts w:ascii="宋体" w:hAnsi="宋体" w:eastAsia="宋体" w:cs="宋体"/>
                <w:kern w:val="0"/>
                <w:sz w:val="24"/>
                <w:szCs w:val="24"/>
              </w:rPr>
            </w:pPr>
          </w:p>
        </w:tc>
        <w:tc>
          <w:tcPr>
            <w:tcW w:w="1134" w:type="dxa"/>
            <w:tcBorders>
              <w:top w:val="nil"/>
              <w:left w:val="nil"/>
              <w:bottom w:val="single" w:color="auto" w:sz="4" w:space="0"/>
              <w:right w:val="nil"/>
            </w:tcBorders>
          </w:tcPr>
          <w:p>
            <w:pPr>
              <w:widowControl/>
              <w:spacing w:line="240" w:lineRule="auto"/>
              <w:jc w:val="center"/>
              <w:rPr>
                <w:rFonts w:ascii="宋体" w:hAnsi="宋体" w:eastAsia="宋体" w:cs="宋体"/>
                <w:kern w:val="0"/>
                <w:sz w:val="24"/>
                <w:szCs w:val="24"/>
              </w:rPr>
            </w:pPr>
          </w:p>
        </w:tc>
        <w:tc>
          <w:tcPr>
            <w:tcW w:w="1134" w:type="dxa"/>
            <w:tcBorders>
              <w:top w:val="nil"/>
              <w:left w:val="nil"/>
              <w:bottom w:val="single" w:color="auto" w:sz="4" w:space="0"/>
              <w:right w:val="nil"/>
            </w:tcBorders>
            <w:noWrap/>
            <w:vAlign w:val="center"/>
          </w:tcPr>
          <w:p>
            <w:pPr>
              <w:widowControl/>
              <w:spacing w:line="240" w:lineRule="auto"/>
              <w:jc w:val="center"/>
              <w:rPr>
                <w:rFonts w:ascii="宋体" w:hAnsi="宋体" w:eastAsia="宋体" w:cs="宋体"/>
                <w:kern w:val="0"/>
                <w:sz w:val="24"/>
                <w:szCs w:val="24"/>
              </w:rPr>
            </w:pPr>
          </w:p>
        </w:tc>
        <w:tc>
          <w:tcPr>
            <w:tcW w:w="567" w:type="dxa"/>
            <w:tcBorders>
              <w:top w:val="nil"/>
              <w:left w:val="nil"/>
              <w:bottom w:val="single" w:color="auto" w:sz="4" w:space="0"/>
              <w:right w:val="nil"/>
            </w:tcBorders>
          </w:tcPr>
          <w:p>
            <w:pPr>
              <w:widowControl/>
              <w:spacing w:line="240" w:lineRule="auto"/>
              <w:jc w:val="right"/>
              <w:rPr>
                <w:rFonts w:ascii="宋体" w:hAnsi="宋体" w:eastAsia="宋体" w:cs="宋体"/>
                <w:kern w:val="0"/>
                <w:sz w:val="22"/>
              </w:rPr>
            </w:pPr>
          </w:p>
        </w:tc>
        <w:tc>
          <w:tcPr>
            <w:tcW w:w="850" w:type="dxa"/>
            <w:tcBorders>
              <w:top w:val="nil"/>
              <w:left w:val="nil"/>
              <w:bottom w:val="single" w:color="auto" w:sz="4" w:space="0"/>
              <w:right w:val="nil"/>
            </w:tcBorders>
          </w:tcPr>
          <w:p>
            <w:pPr>
              <w:widowControl/>
              <w:spacing w:line="240" w:lineRule="auto"/>
              <w:jc w:val="right"/>
              <w:rPr>
                <w:rFonts w:ascii="宋体" w:hAnsi="宋体" w:eastAsia="宋体" w:cs="宋体"/>
                <w:kern w:val="0"/>
                <w:sz w:val="22"/>
              </w:rPr>
            </w:pPr>
          </w:p>
        </w:tc>
        <w:tc>
          <w:tcPr>
            <w:tcW w:w="709" w:type="dxa"/>
            <w:tcBorders>
              <w:top w:val="nil"/>
              <w:left w:val="nil"/>
              <w:bottom w:val="single" w:color="auto" w:sz="4" w:space="0"/>
              <w:right w:val="nil"/>
            </w:tcBorders>
          </w:tcPr>
          <w:p>
            <w:pPr>
              <w:widowControl/>
              <w:spacing w:line="240" w:lineRule="auto"/>
              <w:jc w:val="right"/>
              <w:rPr>
                <w:rFonts w:ascii="宋体" w:hAnsi="宋体" w:eastAsia="宋体" w:cs="宋体"/>
                <w:kern w:val="0"/>
                <w:sz w:val="22"/>
              </w:rPr>
            </w:pPr>
          </w:p>
        </w:tc>
        <w:tc>
          <w:tcPr>
            <w:tcW w:w="850" w:type="dxa"/>
            <w:tcBorders>
              <w:top w:val="nil"/>
              <w:left w:val="nil"/>
              <w:bottom w:val="single" w:color="auto" w:sz="4" w:space="0"/>
              <w:right w:val="nil"/>
            </w:tcBorders>
          </w:tcPr>
          <w:p>
            <w:pPr>
              <w:widowControl/>
              <w:spacing w:line="240" w:lineRule="auto"/>
              <w:jc w:val="right"/>
              <w:rPr>
                <w:rFonts w:ascii="宋体" w:hAnsi="宋体" w:eastAsia="宋体" w:cs="宋体"/>
                <w:kern w:val="0"/>
                <w:sz w:val="22"/>
              </w:rPr>
            </w:pPr>
          </w:p>
        </w:tc>
        <w:tc>
          <w:tcPr>
            <w:tcW w:w="1418" w:type="dxa"/>
            <w:gridSpan w:val="2"/>
            <w:tcBorders>
              <w:top w:val="nil"/>
              <w:left w:val="nil"/>
              <w:bottom w:val="single" w:color="auto" w:sz="4" w:space="0"/>
              <w:right w:val="nil"/>
            </w:tcBorders>
            <w:noWrap/>
            <w:vAlign w:val="center"/>
          </w:tcPr>
          <w:p>
            <w:pPr>
              <w:widowControl/>
              <w:wordWrap w:val="0"/>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tblPrEx>
          <w:tblCellMar>
            <w:top w:w="0" w:type="dxa"/>
            <w:left w:w="108" w:type="dxa"/>
            <w:bottom w:w="0" w:type="dxa"/>
            <w:right w:w="108" w:type="dxa"/>
          </w:tblCellMar>
        </w:tblPrEx>
        <w:trPr>
          <w:trHeight w:val="1237" w:hRule="atLeast"/>
        </w:trPr>
        <w:tc>
          <w:tcPr>
            <w:tcW w:w="114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科目编码</w:t>
            </w:r>
          </w:p>
        </w:tc>
        <w:tc>
          <w:tcPr>
            <w:tcW w:w="2694" w:type="dxa"/>
            <w:gridSpan w:val="2"/>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科目名称</w:t>
            </w: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总计</w:t>
            </w: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一般公共预算拨款收入</w:t>
            </w: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政府性基金预算拨款收入</w:t>
            </w: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国有资本经营预算拨款收入</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财政专户管理资金收入</w:t>
            </w: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事业收入</w:t>
            </w: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事业单位经营收入</w:t>
            </w: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上级补助收入</w:t>
            </w: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附属单位上缴收入</w:t>
            </w: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其他收入</w:t>
            </w:r>
          </w:p>
        </w:tc>
        <w:tc>
          <w:tcPr>
            <w:tcW w:w="851"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上年结转结余</w:t>
            </w:r>
          </w:p>
        </w:tc>
      </w:tr>
      <w:tr>
        <w:tblPrEx>
          <w:tblCellMar>
            <w:top w:w="0" w:type="dxa"/>
            <w:left w:w="108" w:type="dxa"/>
            <w:bottom w:w="0" w:type="dxa"/>
            <w:right w:w="108" w:type="dxa"/>
          </w:tblCellMar>
        </w:tblPrEx>
        <w:trPr>
          <w:trHeight w:val="402" w:hRule="atLeast"/>
        </w:trPr>
        <w:tc>
          <w:tcPr>
            <w:tcW w:w="3843" w:type="dxa"/>
            <w:gridSpan w:val="3"/>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合计</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526.45</w:t>
            </w:r>
          </w:p>
        </w:tc>
        <w:tc>
          <w:tcPr>
            <w:tcW w:w="113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526.45</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208</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社会保障和就业支出</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20805</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行政事业单位养老支出</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2080505</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机关事业单位基本养老</w:t>
            </w:r>
          </w:p>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保险缴费支出</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213</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农林水支出</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21303</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水利</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2130314</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防汛</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住房保障支出</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22102</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住房改革支出</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2210201</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住房公积金</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54.24</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54.24</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2210202</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提租补贴</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8.64</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8.64</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224</w:t>
            </w:r>
          </w:p>
        </w:tc>
        <w:tc>
          <w:tcPr>
            <w:tcW w:w="2694"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灾害防治及应急管理支出</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134"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134"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1134"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c>
          <w:tcPr>
            <w:tcW w:w="851"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22401</w:t>
            </w:r>
          </w:p>
        </w:tc>
        <w:tc>
          <w:tcPr>
            <w:tcW w:w="2694"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应急管理事务</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134" w:type="dxa"/>
            <w:tcBorders>
              <w:top w:val="single" w:color="auto" w:sz="4" w:space="0"/>
              <w:left w:val="nil"/>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567"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p>
        </w:tc>
        <w:tc>
          <w:tcPr>
            <w:tcW w:w="851" w:type="dxa"/>
            <w:tcBorders>
              <w:top w:val="single" w:color="auto" w:sz="4" w:space="0"/>
              <w:left w:val="nil"/>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2240150</w:t>
            </w:r>
          </w:p>
        </w:tc>
        <w:tc>
          <w:tcPr>
            <w:tcW w:w="2694" w:type="dxa"/>
            <w:gridSpan w:val="2"/>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事业运行</w:t>
            </w:r>
          </w:p>
        </w:tc>
        <w:tc>
          <w:tcPr>
            <w:tcW w:w="113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13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134"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4"/>
                <w:szCs w:val="24"/>
              </w:rPr>
              <w:t>　</w:t>
            </w:r>
          </w:p>
        </w:tc>
        <w:tc>
          <w:tcPr>
            <w:tcW w:w="1134"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1134"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4"/>
                <w:szCs w:val="24"/>
              </w:rPr>
              <w:t>　</w:t>
            </w:r>
          </w:p>
        </w:tc>
        <w:tc>
          <w:tcPr>
            <w:tcW w:w="567"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70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kern w:val="0"/>
                <w:sz w:val="24"/>
                <w:szCs w:val="24"/>
              </w:rPr>
            </w:pPr>
          </w:p>
        </w:tc>
        <w:tc>
          <w:tcPr>
            <w:tcW w:w="567"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4"/>
                <w:szCs w:val="24"/>
              </w:rPr>
              <w:t>　</w:t>
            </w:r>
          </w:p>
        </w:tc>
        <w:tc>
          <w:tcPr>
            <w:tcW w:w="851"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4"/>
                <w:szCs w:val="24"/>
              </w:rPr>
              <w:t>　</w:t>
            </w:r>
          </w:p>
        </w:tc>
      </w:tr>
    </w:tbl>
    <w:p>
      <w:pPr>
        <w:tabs>
          <w:tab w:val="left" w:pos="7513"/>
        </w:tabs>
        <w:adjustRightInd w:val="0"/>
        <w:snapToGrid w:val="0"/>
        <w:spacing w:line="600" w:lineRule="exact"/>
        <w:rPr>
          <w:rFonts w:cs="Times New Roman" w:asciiTheme="majorEastAsia" w:hAnsiTheme="majorEastAsia" w:eastAsiaTheme="majorEastAsia"/>
          <w:kern w:val="0"/>
          <w:sz w:val="36"/>
          <w:szCs w:val="20"/>
        </w:rPr>
      </w:pPr>
    </w:p>
    <w:p>
      <w:pPr>
        <w:tabs>
          <w:tab w:val="left" w:pos="7513"/>
        </w:tabs>
        <w:rPr>
          <w:rFonts w:cs="Times New Roman" w:asciiTheme="majorEastAsia" w:hAnsiTheme="majorEastAsia" w:eastAsiaTheme="majorEastAsia"/>
          <w:sz w:val="36"/>
          <w:szCs w:val="20"/>
        </w:rPr>
      </w:pPr>
      <w:r>
        <w:rPr>
          <w:rFonts w:hint="eastAsia" w:cs="Times New Roman" w:asciiTheme="majorEastAsia" w:hAnsiTheme="majorEastAsia" w:eastAsiaTheme="majorEastAsia"/>
          <w:sz w:val="36"/>
          <w:szCs w:val="20"/>
        </w:rPr>
        <w:tab/>
      </w:r>
    </w:p>
    <w:p>
      <w:pPr>
        <w:rPr>
          <w:rFonts w:cs="Times New Roman" w:asciiTheme="majorEastAsia" w:hAnsiTheme="majorEastAsia" w:eastAsiaTheme="majorEastAsia"/>
          <w:sz w:val="36"/>
          <w:szCs w:val="20"/>
        </w:rPr>
      </w:pPr>
    </w:p>
    <w:p>
      <w:pPr>
        <w:widowControl/>
        <w:spacing w:line="240" w:lineRule="auto"/>
        <w:jc w:val="left"/>
        <w:rPr>
          <w:rFonts w:cs="Times New Roman" w:asciiTheme="majorEastAsia" w:hAnsiTheme="majorEastAsia" w:eastAsiaTheme="majorEastAsia"/>
          <w:kern w:val="0"/>
          <w:sz w:val="36"/>
          <w:szCs w:val="20"/>
        </w:rPr>
        <w:sectPr>
          <w:pgSz w:w="16838" w:h="11906" w:orient="landscape"/>
          <w:pgMar w:top="1800" w:right="1440" w:bottom="1800" w:left="144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三、支出预算总表</w:t>
      </w:r>
    </w:p>
    <w:tbl>
      <w:tblPr>
        <w:tblStyle w:val="6"/>
        <w:tblW w:w="13906" w:type="dxa"/>
        <w:tblInd w:w="93" w:type="dxa"/>
        <w:tblLayout w:type="fixed"/>
        <w:tblCellMar>
          <w:top w:w="0" w:type="dxa"/>
          <w:left w:w="108" w:type="dxa"/>
          <w:bottom w:w="0" w:type="dxa"/>
          <w:right w:w="108" w:type="dxa"/>
        </w:tblCellMar>
      </w:tblPr>
      <w:tblGrid>
        <w:gridCol w:w="1433"/>
        <w:gridCol w:w="3118"/>
        <w:gridCol w:w="1559"/>
        <w:gridCol w:w="1559"/>
        <w:gridCol w:w="1560"/>
        <w:gridCol w:w="1559"/>
        <w:gridCol w:w="1559"/>
        <w:gridCol w:w="1559"/>
      </w:tblGrid>
      <w:tr>
        <w:tblPrEx>
          <w:tblCellMar>
            <w:top w:w="0" w:type="dxa"/>
            <w:left w:w="108" w:type="dxa"/>
            <w:bottom w:w="0" w:type="dxa"/>
            <w:right w:w="108" w:type="dxa"/>
          </w:tblCellMar>
        </w:tblPrEx>
        <w:trPr>
          <w:trHeight w:val="285" w:hRule="atLeast"/>
        </w:trPr>
        <w:tc>
          <w:tcPr>
            <w:tcW w:w="13906" w:type="dxa"/>
            <w:gridSpan w:val="8"/>
            <w:tcBorders>
              <w:top w:val="nil"/>
              <w:left w:val="nil"/>
              <w:bottom w:val="single" w:color="auto" w:sz="4" w:space="0"/>
              <w:right w:val="nil"/>
            </w:tcBorders>
            <w:noWrap/>
            <w:vAlign w:val="center"/>
          </w:tcPr>
          <w:p>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rPr>
              <w:t>2022年度支出预算总表</w:t>
            </w:r>
          </w:p>
          <w:p>
            <w:pPr>
              <w:widowControl/>
              <w:wordWrap w:val="0"/>
              <w:spacing w:line="240" w:lineRule="auto"/>
              <w:jc w:val="right"/>
              <w:rPr>
                <w:rFonts w:cs="宋体" w:asciiTheme="minorEastAsia" w:hAnsiTheme="minorEastAsia"/>
                <w:kern w:val="0"/>
                <w:sz w:val="20"/>
                <w:szCs w:val="32"/>
              </w:rPr>
            </w:pPr>
            <w:r>
              <w:rPr>
                <w:rFonts w:hint="eastAsia" w:ascii="宋体" w:hAnsi="宋体" w:eastAsia="宋体" w:cs="宋体"/>
                <w:kern w:val="0"/>
                <w:sz w:val="22"/>
              </w:rPr>
              <w:t xml:space="preserve">单位：万元 </w:t>
            </w:r>
          </w:p>
        </w:tc>
      </w:tr>
      <w:tr>
        <w:tblPrEx>
          <w:tblCellMar>
            <w:top w:w="0" w:type="dxa"/>
            <w:left w:w="108" w:type="dxa"/>
            <w:bottom w:w="0" w:type="dxa"/>
            <w:right w:w="108" w:type="dxa"/>
          </w:tblCellMar>
        </w:tblPrEx>
        <w:trPr>
          <w:trHeight w:val="414" w:hRule="atLeast"/>
        </w:trPr>
        <w:tc>
          <w:tcPr>
            <w:tcW w:w="1433"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科目编码</w:t>
            </w:r>
          </w:p>
        </w:tc>
        <w:tc>
          <w:tcPr>
            <w:tcW w:w="3118"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科目名称</w:t>
            </w:r>
          </w:p>
        </w:tc>
        <w:tc>
          <w:tcPr>
            <w:tcW w:w="1559" w:type="dxa"/>
            <w:tcBorders>
              <w:top w:val="nil"/>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合计</w:t>
            </w: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kern w:val="0"/>
                <w:sz w:val="22"/>
              </w:rPr>
              <w:t>基本支出</w:t>
            </w:r>
          </w:p>
        </w:tc>
        <w:tc>
          <w:tcPr>
            <w:tcW w:w="1560"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kern w:val="0"/>
                <w:sz w:val="22"/>
              </w:rPr>
              <w:t>项目支出</w:t>
            </w: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事业单位经营支出</w:t>
            </w: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上缴上级支出</w:t>
            </w: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对附属单位补助支出</w:t>
            </w:r>
          </w:p>
        </w:tc>
      </w:tr>
      <w:tr>
        <w:tblPrEx>
          <w:tblCellMar>
            <w:top w:w="0" w:type="dxa"/>
            <w:left w:w="108" w:type="dxa"/>
            <w:bottom w:w="0" w:type="dxa"/>
            <w:right w:w="108" w:type="dxa"/>
          </w:tblCellMar>
        </w:tblPrEx>
        <w:trPr>
          <w:trHeight w:val="402" w:hRule="atLeast"/>
        </w:trPr>
        <w:tc>
          <w:tcPr>
            <w:tcW w:w="4551" w:type="dxa"/>
            <w:gridSpan w:val="2"/>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color w:val="000000"/>
                <w:kern w:val="0"/>
                <w:sz w:val="22"/>
              </w:rPr>
            </w:pPr>
            <w:r>
              <w:rPr>
                <w:rFonts w:hint="eastAsia" w:ascii="宋体" w:hAnsi="宋体" w:eastAsia="宋体" w:cs="宋体"/>
                <w:b/>
                <w:kern w:val="0"/>
                <w:sz w:val="22"/>
              </w:rPr>
              <w:t>合计</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526.45</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459.54</w:t>
            </w: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66.91</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208</w:t>
            </w:r>
          </w:p>
        </w:tc>
        <w:tc>
          <w:tcPr>
            <w:tcW w:w="3118"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社会保障和就业支出</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560"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20805</w:t>
            </w:r>
          </w:p>
        </w:tc>
        <w:tc>
          <w:tcPr>
            <w:tcW w:w="3118"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行政事业单位养老支出</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560"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2080505</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机关事业单位基本养老</w:t>
            </w:r>
          </w:p>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保险缴费支出</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r>
              <w:rPr>
                <w:rFonts w:hint="eastAsia" w:ascii="宋体" w:hAnsi="宋体" w:eastAsia="宋体" w:cs="宋体"/>
                <w:color w:val="000000"/>
                <w:kern w:val="0"/>
                <w:sz w:val="22"/>
              </w:rPr>
              <w:t>　</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213</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农林水支出</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58</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21303</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水利</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58</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2130314</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防汛</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58</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住房保障支出</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22102</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住房改革支出</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2210201</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住房公积金</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54.24</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54.24</w:t>
            </w: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2210202</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提租补贴</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8.64</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8.64</w:t>
            </w: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224</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灾害防治及应急管理支出</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362.62</w:t>
            </w: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8.91</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22401</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应急管理事务</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362.62</w:t>
            </w: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8.91</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433"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2240150</w:t>
            </w:r>
          </w:p>
        </w:tc>
        <w:tc>
          <w:tcPr>
            <w:tcW w:w="31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事业运行</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559"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362.62</w:t>
            </w:r>
          </w:p>
        </w:tc>
        <w:tc>
          <w:tcPr>
            <w:tcW w:w="156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8.91</w:t>
            </w:r>
          </w:p>
        </w:tc>
        <w:tc>
          <w:tcPr>
            <w:tcW w:w="1559" w:type="dxa"/>
            <w:tcBorders>
              <w:top w:val="single" w:color="auto" w:sz="4" w:space="0"/>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c>
          <w:tcPr>
            <w:tcW w:w="155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22"/>
              </w:rPr>
            </w:pPr>
          </w:p>
        </w:tc>
      </w:tr>
    </w:tbl>
    <w:p>
      <w:pPr>
        <w:widowControl/>
        <w:spacing w:line="300" w:lineRule="auto"/>
        <w:jc w:val="left"/>
        <w:rPr>
          <w:rFonts w:cs="Times New Roman" w:asciiTheme="majorEastAsia" w:hAnsiTheme="majorEastAsia" w:eastAsiaTheme="majorEastAsia"/>
          <w:kern w:val="0"/>
          <w:sz w:val="36"/>
          <w:szCs w:val="20"/>
        </w:rPr>
        <w:sectPr>
          <w:pgSz w:w="16838" w:h="11906" w:orient="landscape"/>
          <w:pgMar w:top="1800" w:right="1440" w:bottom="1800" w:left="144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四、财政拨款收支预算总表</w:t>
      </w:r>
    </w:p>
    <w:tbl>
      <w:tblPr>
        <w:tblStyle w:val="6"/>
        <w:tblW w:w="8648" w:type="dxa"/>
        <w:tblInd w:w="-34" w:type="dxa"/>
        <w:tblLayout w:type="fixed"/>
        <w:tblCellMar>
          <w:top w:w="0" w:type="dxa"/>
          <w:left w:w="108" w:type="dxa"/>
          <w:bottom w:w="0" w:type="dxa"/>
          <w:right w:w="108" w:type="dxa"/>
        </w:tblCellMar>
      </w:tblPr>
      <w:tblGrid>
        <w:gridCol w:w="2977"/>
        <w:gridCol w:w="1276"/>
        <w:gridCol w:w="3119"/>
        <w:gridCol w:w="1276"/>
      </w:tblGrid>
      <w:tr>
        <w:tblPrEx>
          <w:tblCellMar>
            <w:top w:w="0" w:type="dxa"/>
            <w:left w:w="108" w:type="dxa"/>
            <w:bottom w:w="0" w:type="dxa"/>
            <w:right w:w="108" w:type="dxa"/>
          </w:tblCellMar>
        </w:tblPrEx>
        <w:trPr>
          <w:trHeight w:val="405" w:hRule="atLeast"/>
        </w:trPr>
        <w:tc>
          <w:tcPr>
            <w:tcW w:w="8648" w:type="dxa"/>
            <w:gridSpan w:val="4"/>
            <w:noWrap/>
            <w:vAlign w:val="center"/>
          </w:tcPr>
          <w:p>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rPr>
              <w:t>2022年度财政拨款收支预算总表</w:t>
            </w:r>
          </w:p>
        </w:tc>
      </w:tr>
      <w:tr>
        <w:tblPrEx>
          <w:tblCellMar>
            <w:top w:w="0" w:type="dxa"/>
            <w:left w:w="108" w:type="dxa"/>
            <w:bottom w:w="0" w:type="dxa"/>
            <w:right w:w="108" w:type="dxa"/>
          </w:tblCellMar>
        </w:tblPrEx>
        <w:trPr>
          <w:trHeight w:val="285" w:hRule="atLeast"/>
        </w:trPr>
        <w:tc>
          <w:tcPr>
            <w:tcW w:w="8648" w:type="dxa"/>
            <w:gridSpan w:val="4"/>
            <w:noWrap/>
            <w:vAlign w:val="bottom"/>
          </w:tcPr>
          <w:p>
            <w:pPr>
              <w:widowControl/>
              <w:spacing w:line="240" w:lineRule="auto"/>
              <w:jc w:val="right"/>
              <w:rPr>
                <w:rFonts w:ascii="宋体" w:hAnsi="宋体" w:eastAsia="宋体" w:cs="宋体"/>
                <w:kern w:val="0"/>
                <w:sz w:val="24"/>
                <w:szCs w:val="24"/>
              </w:rPr>
            </w:pPr>
            <w:r>
              <w:rPr>
                <w:rFonts w:hint="eastAsia" w:ascii="宋体" w:hAnsi="宋体" w:eastAsia="宋体" w:cs="宋体"/>
                <w:kern w:val="0"/>
                <w:sz w:val="22"/>
                <w:szCs w:val="24"/>
              </w:rPr>
              <w:t>单位：万元</w:t>
            </w:r>
          </w:p>
        </w:tc>
      </w:tr>
      <w:tr>
        <w:tblPrEx>
          <w:tblCellMar>
            <w:top w:w="0" w:type="dxa"/>
            <w:left w:w="108" w:type="dxa"/>
            <w:bottom w:w="0" w:type="dxa"/>
            <w:right w:w="108" w:type="dxa"/>
          </w:tblCellMar>
        </w:tblPrEx>
        <w:trPr>
          <w:trHeight w:val="402" w:hRule="atLeast"/>
        </w:trPr>
        <w:tc>
          <w:tcPr>
            <w:tcW w:w="4253"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收入</w:t>
            </w:r>
          </w:p>
        </w:tc>
        <w:tc>
          <w:tcPr>
            <w:tcW w:w="4395"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支出</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1276"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c>
          <w:tcPr>
            <w:tcW w:w="311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1276"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一、一般公共预算拨款收入</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526.45</w:t>
            </w: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一、一般公共服务支出</w:t>
            </w:r>
          </w:p>
        </w:tc>
        <w:tc>
          <w:tcPr>
            <w:tcW w:w="1276"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二、政府性基金预算拨款收入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二、外交支出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三、国有资本经营预算拨款收入</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三、国防支出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四、公共安全支出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五、教育支出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六、科学技术支出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r>
              <w:rPr>
                <w:rFonts w:hint="eastAsia" w:ascii="宋体" w:hAnsi="宋体" w:eastAsia="宋体" w:cs="宋体"/>
                <w:kern w:val="0"/>
                <w:sz w:val="18"/>
                <w:szCs w:val="18"/>
              </w:rPr>
              <w:t>　</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七、文化旅游体育与传媒支出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八、社会保障和就业支出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34.04</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九、卫生健康支出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十、节能环保支出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十一、城乡社区支出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十二、农林水支出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58</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十三、交通运输支出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十四、资源勘探工业信息等支出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十五、商业服务业等支出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十六、金融支出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十七、援助其他地区支出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十八、自然资源海洋气象等支出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十九、住房保障支出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62.88</w:t>
            </w: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二十、粮油物资储备支出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二十一、灾害防治及应急管理支出</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kern w:val="0"/>
                <w:sz w:val="18"/>
                <w:szCs w:val="18"/>
              </w:rPr>
            </w:pPr>
            <w:r>
              <w:rPr>
                <w:rFonts w:hint="eastAsia" w:ascii="宋体" w:hAnsi="宋体" w:eastAsia="宋体" w:cs="宋体"/>
                <w:kern w:val="0"/>
                <w:sz w:val="18"/>
                <w:szCs w:val="18"/>
              </w:rPr>
              <w:t>371.53</w:t>
            </w:r>
          </w:p>
        </w:tc>
      </w:tr>
      <w:tr>
        <w:tblPrEx>
          <w:tblCellMar>
            <w:top w:w="0" w:type="dxa"/>
            <w:left w:w="108" w:type="dxa"/>
            <w:bottom w:w="0" w:type="dxa"/>
            <w:right w:w="108" w:type="dxa"/>
          </w:tblCellMar>
        </w:tblPrEx>
        <w:trPr>
          <w:trHeight w:val="458"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二十二、其他支出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二十三、债务还本支出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二十四、债务付息支出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c>
          <w:tcPr>
            <w:tcW w:w="311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18"/>
                <w:szCs w:val="18"/>
              </w:rPr>
            </w:pPr>
            <w:r>
              <w:rPr>
                <w:rFonts w:hint="eastAsia" w:ascii="宋体" w:hAnsi="宋体" w:eastAsia="宋体" w:cs="宋体"/>
                <w:kern w:val="0"/>
                <w:sz w:val="18"/>
                <w:szCs w:val="18"/>
              </w:rPr>
              <w:t>二十五、债务发行费用支出</w:t>
            </w:r>
          </w:p>
        </w:tc>
        <w:tc>
          <w:tcPr>
            <w:tcW w:w="1276"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kern w:val="0"/>
                <w:sz w:val="18"/>
                <w:szCs w:val="18"/>
              </w:rPr>
            </w:pPr>
          </w:p>
        </w:tc>
      </w:tr>
      <w:tr>
        <w:tblPrEx>
          <w:tblCellMar>
            <w:top w:w="0" w:type="dxa"/>
            <w:left w:w="108" w:type="dxa"/>
            <w:bottom w:w="0" w:type="dxa"/>
            <w:right w:w="108" w:type="dxa"/>
          </w:tblCellMar>
        </w:tblPrEx>
        <w:trPr>
          <w:trHeight w:val="402" w:hRule="atLeast"/>
        </w:trPr>
        <w:tc>
          <w:tcPr>
            <w:tcW w:w="2977"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收入合计</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526.45</w:t>
            </w:r>
          </w:p>
        </w:tc>
        <w:tc>
          <w:tcPr>
            <w:tcW w:w="311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支出合计</w:t>
            </w:r>
          </w:p>
        </w:tc>
        <w:tc>
          <w:tcPr>
            <w:tcW w:w="1276"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526.45</w:t>
            </w:r>
          </w:p>
        </w:tc>
      </w:tr>
    </w:tbl>
    <w:p>
      <w:pPr>
        <w:widowControl/>
        <w:spacing w:line="300" w:lineRule="auto"/>
        <w:jc w:val="left"/>
        <w:rPr>
          <w:rFonts w:ascii="楷体" w:hAnsi="楷体" w:eastAsia="楷体" w:cs="Times New Roman"/>
          <w:kern w:val="0"/>
          <w:sz w:val="36"/>
          <w:szCs w:val="21"/>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五、一般公共预算拨款支出预算表</w:t>
      </w:r>
    </w:p>
    <w:tbl>
      <w:tblPr>
        <w:tblStyle w:val="6"/>
        <w:tblW w:w="8237" w:type="dxa"/>
        <w:tblInd w:w="93" w:type="dxa"/>
        <w:tblLayout w:type="fixed"/>
        <w:tblCellMar>
          <w:top w:w="0" w:type="dxa"/>
          <w:left w:w="108" w:type="dxa"/>
          <w:bottom w:w="0" w:type="dxa"/>
          <w:right w:w="108" w:type="dxa"/>
        </w:tblCellMar>
      </w:tblPr>
      <w:tblGrid>
        <w:gridCol w:w="1149"/>
        <w:gridCol w:w="2694"/>
        <w:gridCol w:w="1417"/>
        <w:gridCol w:w="1559"/>
        <w:gridCol w:w="1418"/>
      </w:tblGrid>
      <w:tr>
        <w:tblPrEx>
          <w:tblCellMar>
            <w:top w:w="0" w:type="dxa"/>
            <w:left w:w="108" w:type="dxa"/>
            <w:bottom w:w="0" w:type="dxa"/>
            <w:right w:w="108" w:type="dxa"/>
          </w:tblCellMar>
        </w:tblPrEx>
        <w:trPr>
          <w:trHeight w:val="405" w:hRule="atLeast"/>
        </w:trPr>
        <w:tc>
          <w:tcPr>
            <w:tcW w:w="8237" w:type="dxa"/>
            <w:gridSpan w:val="5"/>
            <w:noWrap/>
            <w:vAlign w:val="center"/>
          </w:tcPr>
          <w:p>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rPr>
              <w:t>2022年度一般公共预算拨款支出预算表</w:t>
            </w:r>
          </w:p>
        </w:tc>
      </w:tr>
      <w:tr>
        <w:tblPrEx>
          <w:tblCellMar>
            <w:top w:w="0" w:type="dxa"/>
            <w:left w:w="108" w:type="dxa"/>
            <w:bottom w:w="0" w:type="dxa"/>
            <w:right w:w="108" w:type="dxa"/>
          </w:tblCellMar>
        </w:tblPrEx>
        <w:trPr>
          <w:trHeight w:val="285" w:hRule="atLeast"/>
        </w:trPr>
        <w:tc>
          <w:tcPr>
            <w:tcW w:w="1149" w:type="dxa"/>
            <w:noWrap/>
            <w:vAlign w:val="center"/>
          </w:tcPr>
          <w:p>
            <w:pPr>
              <w:widowControl/>
              <w:spacing w:line="240" w:lineRule="auto"/>
              <w:jc w:val="left"/>
              <w:rPr>
                <w:rFonts w:ascii="宋体" w:hAnsi="宋体" w:eastAsia="宋体" w:cs="宋体"/>
                <w:kern w:val="0"/>
                <w:sz w:val="24"/>
                <w:szCs w:val="24"/>
              </w:rPr>
            </w:pPr>
          </w:p>
        </w:tc>
        <w:tc>
          <w:tcPr>
            <w:tcW w:w="2694" w:type="dxa"/>
            <w:noWrap/>
            <w:vAlign w:val="center"/>
          </w:tcPr>
          <w:p>
            <w:pPr>
              <w:widowControl/>
              <w:spacing w:line="240" w:lineRule="auto"/>
              <w:jc w:val="left"/>
              <w:rPr>
                <w:rFonts w:ascii="宋体" w:hAnsi="宋体" w:eastAsia="宋体" w:cs="宋体"/>
                <w:kern w:val="0"/>
                <w:sz w:val="24"/>
                <w:szCs w:val="24"/>
              </w:rPr>
            </w:pPr>
          </w:p>
        </w:tc>
        <w:tc>
          <w:tcPr>
            <w:tcW w:w="1417" w:type="dxa"/>
            <w:noWrap/>
            <w:vAlign w:val="center"/>
          </w:tcPr>
          <w:p>
            <w:pPr>
              <w:widowControl/>
              <w:spacing w:line="240" w:lineRule="auto"/>
              <w:jc w:val="left"/>
              <w:rPr>
                <w:rFonts w:ascii="宋体" w:hAnsi="宋体" w:eastAsia="宋体" w:cs="宋体"/>
                <w:kern w:val="0"/>
                <w:sz w:val="24"/>
                <w:szCs w:val="24"/>
              </w:rPr>
            </w:pPr>
          </w:p>
        </w:tc>
        <w:tc>
          <w:tcPr>
            <w:tcW w:w="1559" w:type="dxa"/>
            <w:noWrap/>
            <w:vAlign w:val="center"/>
          </w:tcPr>
          <w:p>
            <w:pPr>
              <w:widowControl/>
              <w:spacing w:line="240" w:lineRule="auto"/>
              <w:jc w:val="left"/>
              <w:rPr>
                <w:rFonts w:ascii="宋体" w:hAnsi="宋体" w:eastAsia="宋体" w:cs="宋体"/>
                <w:kern w:val="0"/>
                <w:sz w:val="24"/>
                <w:szCs w:val="24"/>
              </w:rPr>
            </w:pPr>
          </w:p>
        </w:tc>
        <w:tc>
          <w:tcPr>
            <w:tcW w:w="1418" w:type="dxa"/>
            <w:noWrap/>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tblPrEx>
          <w:tblCellMar>
            <w:top w:w="0" w:type="dxa"/>
            <w:left w:w="108" w:type="dxa"/>
            <w:bottom w:w="0" w:type="dxa"/>
            <w:right w:w="108" w:type="dxa"/>
          </w:tblCellMar>
        </w:tblPrEx>
        <w:trPr>
          <w:trHeight w:val="402" w:hRule="atLeast"/>
        </w:trPr>
        <w:tc>
          <w:tcPr>
            <w:tcW w:w="1149"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科目编码</w:t>
            </w:r>
          </w:p>
        </w:tc>
        <w:tc>
          <w:tcPr>
            <w:tcW w:w="2694"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科目名称</w:t>
            </w:r>
          </w:p>
        </w:tc>
        <w:tc>
          <w:tcPr>
            <w:tcW w:w="1417"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合计</w:t>
            </w:r>
          </w:p>
        </w:tc>
        <w:tc>
          <w:tcPr>
            <w:tcW w:w="2977"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其中：</w:t>
            </w:r>
          </w:p>
        </w:tc>
      </w:tr>
      <w:tr>
        <w:tblPrEx>
          <w:tblCellMar>
            <w:top w:w="0" w:type="dxa"/>
            <w:left w:w="108" w:type="dxa"/>
            <w:bottom w:w="0" w:type="dxa"/>
            <w:right w:w="108" w:type="dxa"/>
          </w:tblCellMar>
        </w:tblPrEx>
        <w:trPr>
          <w:trHeight w:val="402" w:hRule="atLeast"/>
        </w:trPr>
        <w:tc>
          <w:tcPr>
            <w:tcW w:w="114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kern w:val="0"/>
                <w:sz w:val="22"/>
              </w:rPr>
            </w:pPr>
          </w:p>
        </w:tc>
        <w:tc>
          <w:tcPr>
            <w:tcW w:w="269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kern w:val="0"/>
                <w:sz w:val="22"/>
              </w:rPr>
            </w:pPr>
          </w:p>
        </w:tc>
        <w:tc>
          <w:tcPr>
            <w:tcW w:w="141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kern w:val="0"/>
                <w:sz w:val="22"/>
              </w:rPr>
            </w:pP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基本支出</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项目支出</w:t>
            </w:r>
          </w:p>
        </w:tc>
      </w:tr>
      <w:tr>
        <w:tblPrEx>
          <w:tblCellMar>
            <w:top w:w="0" w:type="dxa"/>
            <w:left w:w="108" w:type="dxa"/>
            <w:bottom w:w="0" w:type="dxa"/>
            <w:right w:w="108" w:type="dxa"/>
          </w:tblCellMar>
        </w:tblPrEx>
        <w:trPr>
          <w:trHeight w:val="402" w:hRule="atLeast"/>
        </w:trPr>
        <w:tc>
          <w:tcPr>
            <w:tcW w:w="3843" w:type="dxa"/>
            <w:gridSpan w:val="2"/>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合计</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526.45</w:t>
            </w:r>
          </w:p>
        </w:tc>
        <w:tc>
          <w:tcPr>
            <w:tcW w:w="1559" w:type="dxa"/>
            <w:tcBorders>
              <w:top w:val="nil"/>
              <w:left w:val="nil"/>
              <w:bottom w:val="single" w:color="auto" w:sz="4" w:space="0"/>
              <w:right w:val="single" w:color="auto" w:sz="4" w:space="0"/>
            </w:tcBorders>
            <w:noWrap/>
            <w:vAlign w:val="bottom"/>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459.54</w:t>
            </w:r>
          </w:p>
        </w:tc>
        <w:tc>
          <w:tcPr>
            <w:tcW w:w="1418" w:type="dxa"/>
            <w:tcBorders>
              <w:top w:val="nil"/>
              <w:left w:val="nil"/>
              <w:bottom w:val="single" w:color="auto" w:sz="4" w:space="0"/>
              <w:right w:val="single" w:color="auto" w:sz="4" w:space="0"/>
            </w:tcBorders>
            <w:noWrap/>
            <w:vAlign w:val="bottom"/>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66.91</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208</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社会保障和就业支出</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20805</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行政事业单位养老支出</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2080505</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机关事业单位基本养老</w:t>
            </w:r>
          </w:p>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保险缴费支出</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34.04</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kern w:val="0"/>
                <w:sz w:val="24"/>
                <w:szCs w:val="24"/>
              </w:rPr>
            </w:pPr>
            <w:r>
              <w:rPr>
                <w:rFonts w:hint="eastAsia" w:ascii="宋体" w:hAnsi="宋体" w:eastAsia="宋体" w:cs="宋体"/>
                <w:color w:val="000000"/>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213</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农林水支出</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58</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21303</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水利</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58</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2130314</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防汛</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58</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58</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住房保障支出</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22102</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住房改革支出</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62.88</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2210201</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住房公积金</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54.24</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54.24</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2210202</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提租补贴</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8.64</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8.64</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224</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灾害防治及应急管理支出</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362.62</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8.91</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22401</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应急管理事务</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362.62</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8.91</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2240150</w:t>
            </w:r>
          </w:p>
        </w:tc>
        <w:tc>
          <w:tcPr>
            <w:tcW w:w="2694"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事业运行</w:t>
            </w:r>
          </w:p>
        </w:tc>
        <w:tc>
          <w:tcPr>
            <w:tcW w:w="1417"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371.53</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362.62</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8.91</w:t>
            </w:r>
          </w:p>
        </w:tc>
      </w:tr>
    </w:tbl>
    <w:p>
      <w:pPr>
        <w:widowControl/>
        <w:spacing w:line="360" w:lineRule="auto"/>
        <w:jc w:val="left"/>
        <w:rPr>
          <w:rFonts w:ascii="黑体" w:hAnsi="黑体" w:eastAsia="黑体"/>
          <w:sz w:val="32"/>
          <w:szCs w:val="32"/>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六、政府性基金预算拨款支出预算表</w:t>
      </w:r>
    </w:p>
    <w:tbl>
      <w:tblPr>
        <w:tblStyle w:val="6"/>
        <w:tblW w:w="8237" w:type="dxa"/>
        <w:tblInd w:w="93" w:type="dxa"/>
        <w:tblLayout w:type="fixed"/>
        <w:tblCellMar>
          <w:top w:w="0" w:type="dxa"/>
          <w:left w:w="108" w:type="dxa"/>
          <w:bottom w:w="0" w:type="dxa"/>
          <w:right w:w="108" w:type="dxa"/>
        </w:tblCellMar>
      </w:tblPr>
      <w:tblGrid>
        <w:gridCol w:w="1149"/>
        <w:gridCol w:w="2552"/>
        <w:gridCol w:w="1559"/>
        <w:gridCol w:w="1559"/>
        <w:gridCol w:w="1418"/>
      </w:tblGrid>
      <w:tr>
        <w:tblPrEx>
          <w:tblCellMar>
            <w:top w:w="0" w:type="dxa"/>
            <w:left w:w="108" w:type="dxa"/>
            <w:bottom w:w="0" w:type="dxa"/>
            <w:right w:w="108" w:type="dxa"/>
          </w:tblCellMar>
        </w:tblPrEx>
        <w:trPr>
          <w:trHeight w:val="529" w:hRule="atLeast"/>
        </w:trPr>
        <w:tc>
          <w:tcPr>
            <w:tcW w:w="8237" w:type="dxa"/>
            <w:gridSpan w:val="5"/>
            <w:noWrap/>
            <w:vAlign w:val="center"/>
          </w:tcPr>
          <w:p>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rPr>
              <w:t>2022年度政府性基金预算拨款支出预算表</w:t>
            </w:r>
          </w:p>
        </w:tc>
      </w:tr>
      <w:tr>
        <w:tblPrEx>
          <w:tblCellMar>
            <w:top w:w="0" w:type="dxa"/>
            <w:left w:w="108" w:type="dxa"/>
            <w:bottom w:w="0" w:type="dxa"/>
            <w:right w:w="108" w:type="dxa"/>
          </w:tblCellMar>
        </w:tblPrEx>
        <w:trPr>
          <w:trHeight w:val="285" w:hRule="atLeast"/>
        </w:trPr>
        <w:tc>
          <w:tcPr>
            <w:tcW w:w="1149" w:type="dxa"/>
            <w:noWrap/>
            <w:vAlign w:val="center"/>
          </w:tcPr>
          <w:p>
            <w:pPr>
              <w:widowControl/>
              <w:spacing w:line="240" w:lineRule="auto"/>
              <w:jc w:val="left"/>
              <w:rPr>
                <w:rFonts w:ascii="宋体" w:hAnsi="宋体" w:eastAsia="宋体" w:cs="宋体"/>
                <w:kern w:val="0"/>
                <w:sz w:val="24"/>
                <w:szCs w:val="24"/>
              </w:rPr>
            </w:pPr>
          </w:p>
        </w:tc>
        <w:tc>
          <w:tcPr>
            <w:tcW w:w="2552" w:type="dxa"/>
            <w:noWrap/>
            <w:vAlign w:val="center"/>
          </w:tcPr>
          <w:p>
            <w:pPr>
              <w:widowControl/>
              <w:spacing w:line="240" w:lineRule="auto"/>
              <w:jc w:val="left"/>
              <w:rPr>
                <w:rFonts w:ascii="宋体" w:hAnsi="宋体" w:eastAsia="宋体" w:cs="宋体"/>
                <w:kern w:val="0"/>
                <w:sz w:val="24"/>
                <w:szCs w:val="24"/>
              </w:rPr>
            </w:pPr>
          </w:p>
        </w:tc>
        <w:tc>
          <w:tcPr>
            <w:tcW w:w="1559" w:type="dxa"/>
            <w:noWrap/>
            <w:vAlign w:val="center"/>
          </w:tcPr>
          <w:p>
            <w:pPr>
              <w:widowControl/>
              <w:spacing w:line="240" w:lineRule="auto"/>
              <w:jc w:val="left"/>
              <w:rPr>
                <w:rFonts w:ascii="宋体" w:hAnsi="宋体" w:eastAsia="宋体" w:cs="宋体"/>
                <w:kern w:val="0"/>
                <w:sz w:val="24"/>
                <w:szCs w:val="24"/>
              </w:rPr>
            </w:pPr>
          </w:p>
        </w:tc>
        <w:tc>
          <w:tcPr>
            <w:tcW w:w="1559" w:type="dxa"/>
            <w:noWrap/>
            <w:vAlign w:val="center"/>
          </w:tcPr>
          <w:p>
            <w:pPr>
              <w:widowControl/>
              <w:spacing w:line="240" w:lineRule="auto"/>
              <w:jc w:val="left"/>
              <w:rPr>
                <w:rFonts w:ascii="宋体" w:hAnsi="宋体" w:eastAsia="宋体" w:cs="宋体"/>
                <w:kern w:val="0"/>
                <w:sz w:val="24"/>
                <w:szCs w:val="24"/>
              </w:rPr>
            </w:pPr>
          </w:p>
        </w:tc>
        <w:tc>
          <w:tcPr>
            <w:tcW w:w="1418" w:type="dxa"/>
            <w:noWrap/>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tblPrEx>
          <w:tblCellMar>
            <w:top w:w="0" w:type="dxa"/>
            <w:left w:w="108" w:type="dxa"/>
            <w:bottom w:w="0" w:type="dxa"/>
            <w:right w:w="108" w:type="dxa"/>
          </w:tblCellMar>
        </w:tblPrEx>
        <w:trPr>
          <w:trHeight w:val="402" w:hRule="atLeast"/>
        </w:trPr>
        <w:tc>
          <w:tcPr>
            <w:tcW w:w="1149"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科目编码</w:t>
            </w:r>
          </w:p>
        </w:tc>
        <w:tc>
          <w:tcPr>
            <w:tcW w:w="2552"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科目名称</w:t>
            </w:r>
          </w:p>
        </w:tc>
        <w:tc>
          <w:tcPr>
            <w:tcW w:w="1559"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合计</w:t>
            </w:r>
          </w:p>
        </w:tc>
        <w:tc>
          <w:tcPr>
            <w:tcW w:w="2977"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其中：</w:t>
            </w:r>
          </w:p>
        </w:tc>
      </w:tr>
      <w:tr>
        <w:tblPrEx>
          <w:tblCellMar>
            <w:top w:w="0" w:type="dxa"/>
            <w:left w:w="108" w:type="dxa"/>
            <w:bottom w:w="0" w:type="dxa"/>
            <w:right w:w="108" w:type="dxa"/>
          </w:tblCellMar>
        </w:tblPrEx>
        <w:trPr>
          <w:trHeight w:val="402" w:hRule="atLeast"/>
        </w:trPr>
        <w:tc>
          <w:tcPr>
            <w:tcW w:w="114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kern w:val="0"/>
                <w:sz w:val="22"/>
              </w:rPr>
            </w:pPr>
          </w:p>
        </w:tc>
        <w:tc>
          <w:tcPr>
            <w:tcW w:w="255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kern w:val="0"/>
                <w:sz w:val="22"/>
              </w:rPr>
            </w:pPr>
          </w:p>
        </w:tc>
        <w:tc>
          <w:tcPr>
            <w:tcW w:w="155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kern w:val="0"/>
                <w:sz w:val="22"/>
              </w:rPr>
            </w:pP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基本支出</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项目支出</w:t>
            </w:r>
          </w:p>
        </w:tc>
      </w:tr>
      <w:tr>
        <w:tblPrEx>
          <w:tblCellMar>
            <w:top w:w="0" w:type="dxa"/>
            <w:left w:w="108" w:type="dxa"/>
            <w:bottom w:w="0" w:type="dxa"/>
            <w:right w:w="108" w:type="dxa"/>
          </w:tblCellMar>
        </w:tblPrEx>
        <w:trPr>
          <w:trHeight w:val="402" w:hRule="atLeast"/>
        </w:trPr>
        <w:tc>
          <w:tcPr>
            <w:tcW w:w="3701" w:type="dxa"/>
            <w:gridSpan w:val="2"/>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合计</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p>
        </w:tc>
        <w:tc>
          <w:tcPr>
            <w:tcW w:w="1559" w:type="dxa"/>
            <w:tcBorders>
              <w:top w:val="nil"/>
              <w:left w:val="nil"/>
              <w:bottom w:val="single" w:color="auto" w:sz="4" w:space="0"/>
              <w:right w:val="single" w:color="auto" w:sz="4" w:space="0"/>
            </w:tcBorders>
            <w:noWrap/>
            <w:vAlign w:val="bottom"/>
          </w:tcPr>
          <w:p>
            <w:pPr>
              <w:widowControl/>
              <w:spacing w:line="240" w:lineRule="auto"/>
              <w:jc w:val="center"/>
              <w:rPr>
                <w:rFonts w:ascii="宋体" w:hAnsi="宋体" w:eastAsia="宋体" w:cs="宋体"/>
                <w:kern w:val="0"/>
                <w:sz w:val="22"/>
              </w:rPr>
            </w:pPr>
          </w:p>
        </w:tc>
        <w:tc>
          <w:tcPr>
            <w:tcW w:w="1418" w:type="dxa"/>
            <w:tcBorders>
              <w:top w:val="nil"/>
              <w:left w:val="nil"/>
              <w:bottom w:val="single" w:color="auto" w:sz="4" w:space="0"/>
              <w:right w:val="single" w:color="auto" w:sz="4" w:space="0"/>
            </w:tcBorders>
            <w:noWrap/>
            <w:vAlign w:val="bottom"/>
          </w:tcPr>
          <w:p>
            <w:pPr>
              <w:widowControl/>
              <w:spacing w:line="240" w:lineRule="auto"/>
              <w:jc w:val="center"/>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bl>
    <w:p>
      <w:pPr>
        <w:tabs>
          <w:tab w:val="left" w:pos="7513"/>
        </w:tabs>
        <w:adjustRightInd w:val="0"/>
        <w:snapToGrid w:val="0"/>
        <w:spacing w:line="300" w:lineRule="auto"/>
        <w:rPr>
          <w:rFonts w:ascii="楷体" w:hAnsi="楷体" w:eastAsia="楷体" w:cs="仿宋_GB2312"/>
          <w:sz w:val="32"/>
          <w:szCs w:val="32"/>
        </w:rPr>
      </w:pPr>
      <w:r>
        <w:rPr>
          <w:rFonts w:hint="eastAsia" w:ascii="仿宋" w:hAnsi="仿宋" w:eastAsia="仿宋" w:cs="仿宋_GB2312"/>
          <w:sz w:val="32"/>
          <w:szCs w:val="32"/>
        </w:rPr>
        <w:t>备注：本部门2022年没有使用政府性基金预算拨款安排的支出。</w:t>
      </w:r>
    </w:p>
    <w:p>
      <w:pPr>
        <w:widowControl/>
        <w:spacing w:line="300" w:lineRule="auto"/>
        <w:jc w:val="left"/>
        <w:rPr>
          <w:rFonts w:ascii="黑体" w:hAnsi="黑体" w:eastAsia="黑体"/>
          <w:sz w:val="32"/>
          <w:szCs w:val="32"/>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七、国有资本经营预算拨款支出预算表</w:t>
      </w:r>
    </w:p>
    <w:tbl>
      <w:tblPr>
        <w:tblStyle w:val="6"/>
        <w:tblW w:w="8237" w:type="dxa"/>
        <w:tblInd w:w="93" w:type="dxa"/>
        <w:tblLayout w:type="fixed"/>
        <w:tblCellMar>
          <w:top w:w="0" w:type="dxa"/>
          <w:left w:w="108" w:type="dxa"/>
          <w:bottom w:w="0" w:type="dxa"/>
          <w:right w:w="108" w:type="dxa"/>
        </w:tblCellMar>
      </w:tblPr>
      <w:tblGrid>
        <w:gridCol w:w="1149"/>
        <w:gridCol w:w="2552"/>
        <w:gridCol w:w="1559"/>
        <w:gridCol w:w="1559"/>
        <w:gridCol w:w="1418"/>
      </w:tblGrid>
      <w:tr>
        <w:tblPrEx>
          <w:tblCellMar>
            <w:top w:w="0" w:type="dxa"/>
            <w:left w:w="108" w:type="dxa"/>
            <w:bottom w:w="0" w:type="dxa"/>
            <w:right w:w="108" w:type="dxa"/>
          </w:tblCellMar>
        </w:tblPrEx>
        <w:trPr>
          <w:trHeight w:val="529" w:hRule="atLeast"/>
        </w:trPr>
        <w:tc>
          <w:tcPr>
            <w:tcW w:w="8237" w:type="dxa"/>
            <w:gridSpan w:val="5"/>
            <w:noWrap/>
            <w:vAlign w:val="center"/>
          </w:tcPr>
          <w:p>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rPr>
              <w:t>2022年度国有资本经营预算拨款支出预算表</w:t>
            </w:r>
          </w:p>
        </w:tc>
      </w:tr>
      <w:tr>
        <w:tblPrEx>
          <w:tblCellMar>
            <w:top w:w="0" w:type="dxa"/>
            <w:left w:w="108" w:type="dxa"/>
            <w:bottom w:w="0" w:type="dxa"/>
            <w:right w:w="108" w:type="dxa"/>
          </w:tblCellMar>
        </w:tblPrEx>
        <w:trPr>
          <w:trHeight w:val="285" w:hRule="atLeast"/>
        </w:trPr>
        <w:tc>
          <w:tcPr>
            <w:tcW w:w="1149" w:type="dxa"/>
            <w:noWrap/>
            <w:vAlign w:val="center"/>
          </w:tcPr>
          <w:p>
            <w:pPr>
              <w:widowControl/>
              <w:spacing w:line="240" w:lineRule="auto"/>
              <w:jc w:val="left"/>
              <w:rPr>
                <w:rFonts w:ascii="宋体" w:hAnsi="宋体" w:eastAsia="宋体" w:cs="宋体"/>
                <w:kern w:val="0"/>
                <w:sz w:val="24"/>
                <w:szCs w:val="24"/>
              </w:rPr>
            </w:pPr>
          </w:p>
        </w:tc>
        <w:tc>
          <w:tcPr>
            <w:tcW w:w="2552" w:type="dxa"/>
            <w:noWrap/>
            <w:vAlign w:val="center"/>
          </w:tcPr>
          <w:p>
            <w:pPr>
              <w:widowControl/>
              <w:spacing w:line="240" w:lineRule="auto"/>
              <w:jc w:val="left"/>
              <w:rPr>
                <w:rFonts w:ascii="宋体" w:hAnsi="宋体" w:eastAsia="宋体" w:cs="宋体"/>
                <w:kern w:val="0"/>
                <w:sz w:val="24"/>
                <w:szCs w:val="24"/>
              </w:rPr>
            </w:pPr>
          </w:p>
        </w:tc>
        <w:tc>
          <w:tcPr>
            <w:tcW w:w="1559" w:type="dxa"/>
            <w:noWrap/>
            <w:vAlign w:val="center"/>
          </w:tcPr>
          <w:p>
            <w:pPr>
              <w:widowControl/>
              <w:spacing w:line="240" w:lineRule="auto"/>
              <w:jc w:val="left"/>
              <w:rPr>
                <w:rFonts w:ascii="宋体" w:hAnsi="宋体" w:eastAsia="宋体" w:cs="宋体"/>
                <w:kern w:val="0"/>
                <w:sz w:val="24"/>
                <w:szCs w:val="24"/>
              </w:rPr>
            </w:pPr>
          </w:p>
        </w:tc>
        <w:tc>
          <w:tcPr>
            <w:tcW w:w="1559" w:type="dxa"/>
            <w:noWrap/>
            <w:vAlign w:val="center"/>
          </w:tcPr>
          <w:p>
            <w:pPr>
              <w:widowControl/>
              <w:spacing w:line="240" w:lineRule="auto"/>
              <w:jc w:val="left"/>
              <w:rPr>
                <w:rFonts w:ascii="宋体" w:hAnsi="宋体" w:eastAsia="宋体" w:cs="宋体"/>
                <w:kern w:val="0"/>
                <w:sz w:val="24"/>
                <w:szCs w:val="24"/>
              </w:rPr>
            </w:pPr>
          </w:p>
        </w:tc>
        <w:tc>
          <w:tcPr>
            <w:tcW w:w="1418" w:type="dxa"/>
            <w:noWrap/>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tblPrEx>
          <w:tblCellMar>
            <w:top w:w="0" w:type="dxa"/>
            <w:left w:w="108" w:type="dxa"/>
            <w:bottom w:w="0" w:type="dxa"/>
            <w:right w:w="108" w:type="dxa"/>
          </w:tblCellMar>
        </w:tblPrEx>
        <w:trPr>
          <w:trHeight w:val="402" w:hRule="atLeast"/>
        </w:trPr>
        <w:tc>
          <w:tcPr>
            <w:tcW w:w="1149"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科目编码</w:t>
            </w:r>
          </w:p>
        </w:tc>
        <w:tc>
          <w:tcPr>
            <w:tcW w:w="2552"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科目名称</w:t>
            </w:r>
          </w:p>
        </w:tc>
        <w:tc>
          <w:tcPr>
            <w:tcW w:w="1559" w:type="dxa"/>
            <w:vMerge w:val="restart"/>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合计</w:t>
            </w:r>
          </w:p>
        </w:tc>
        <w:tc>
          <w:tcPr>
            <w:tcW w:w="2977" w:type="dxa"/>
            <w:gridSpan w:val="2"/>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其中：</w:t>
            </w:r>
          </w:p>
        </w:tc>
      </w:tr>
      <w:tr>
        <w:tblPrEx>
          <w:tblCellMar>
            <w:top w:w="0" w:type="dxa"/>
            <w:left w:w="108" w:type="dxa"/>
            <w:bottom w:w="0" w:type="dxa"/>
            <w:right w:w="108" w:type="dxa"/>
          </w:tblCellMar>
        </w:tblPrEx>
        <w:trPr>
          <w:trHeight w:val="402" w:hRule="atLeast"/>
        </w:trPr>
        <w:tc>
          <w:tcPr>
            <w:tcW w:w="114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kern w:val="0"/>
                <w:sz w:val="22"/>
              </w:rPr>
            </w:pPr>
          </w:p>
        </w:tc>
        <w:tc>
          <w:tcPr>
            <w:tcW w:w="255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kern w:val="0"/>
                <w:sz w:val="22"/>
              </w:rPr>
            </w:pPr>
          </w:p>
        </w:tc>
        <w:tc>
          <w:tcPr>
            <w:tcW w:w="155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kern w:val="0"/>
                <w:sz w:val="22"/>
              </w:rPr>
            </w:pP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基本支出</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项目支出</w:t>
            </w:r>
          </w:p>
        </w:tc>
      </w:tr>
      <w:tr>
        <w:tblPrEx>
          <w:tblCellMar>
            <w:top w:w="0" w:type="dxa"/>
            <w:left w:w="108" w:type="dxa"/>
            <w:bottom w:w="0" w:type="dxa"/>
            <w:right w:w="108" w:type="dxa"/>
          </w:tblCellMar>
        </w:tblPrEx>
        <w:trPr>
          <w:trHeight w:val="402" w:hRule="atLeast"/>
        </w:trPr>
        <w:tc>
          <w:tcPr>
            <w:tcW w:w="3701" w:type="dxa"/>
            <w:gridSpan w:val="2"/>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kern w:val="0"/>
                <w:sz w:val="22"/>
              </w:rPr>
            </w:pPr>
            <w:r>
              <w:rPr>
                <w:rFonts w:hint="eastAsia" w:ascii="宋体" w:hAnsi="宋体" w:eastAsia="宋体" w:cs="宋体"/>
                <w:b/>
                <w:kern w:val="0"/>
                <w:sz w:val="22"/>
              </w:rPr>
              <w:t>合计</w:t>
            </w:r>
          </w:p>
        </w:tc>
        <w:tc>
          <w:tcPr>
            <w:tcW w:w="1559"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p>
        </w:tc>
        <w:tc>
          <w:tcPr>
            <w:tcW w:w="1559" w:type="dxa"/>
            <w:tcBorders>
              <w:top w:val="nil"/>
              <w:left w:val="nil"/>
              <w:bottom w:val="single" w:color="auto" w:sz="4" w:space="0"/>
              <w:right w:val="single" w:color="auto" w:sz="4" w:space="0"/>
            </w:tcBorders>
            <w:noWrap/>
            <w:vAlign w:val="bottom"/>
          </w:tcPr>
          <w:p>
            <w:pPr>
              <w:widowControl/>
              <w:spacing w:line="240" w:lineRule="auto"/>
              <w:jc w:val="center"/>
              <w:rPr>
                <w:rFonts w:ascii="宋体" w:hAnsi="宋体" w:eastAsia="宋体" w:cs="宋体"/>
                <w:kern w:val="0"/>
                <w:sz w:val="22"/>
              </w:rPr>
            </w:pPr>
          </w:p>
        </w:tc>
        <w:tc>
          <w:tcPr>
            <w:tcW w:w="1418" w:type="dxa"/>
            <w:tcBorders>
              <w:top w:val="nil"/>
              <w:left w:val="nil"/>
              <w:bottom w:val="single" w:color="auto" w:sz="4" w:space="0"/>
              <w:right w:val="single" w:color="auto" w:sz="4" w:space="0"/>
            </w:tcBorders>
            <w:noWrap/>
            <w:vAlign w:val="bottom"/>
          </w:tcPr>
          <w:p>
            <w:pPr>
              <w:widowControl/>
              <w:spacing w:line="240" w:lineRule="auto"/>
              <w:jc w:val="center"/>
              <w:rPr>
                <w:rFonts w:ascii="宋体" w:hAnsi="宋体" w:eastAsia="宋体" w:cs="宋体"/>
                <w:kern w:val="0"/>
                <w:sz w:val="22"/>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2552"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c>
          <w:tcPr>
            <w:tcW w:w="1418"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　</w:t>
            </w:r>
          </w:p>
        </w:tc>
      </w:tr>
    </w:tbl>
    <w:p>
      <w:pPr>
        <w:tabs>
          <w:tab w:val="left" w:pos="7513"/>
        </w:tabs>
        <w:adjustRightInd w:val="0"/>
        <w:snapToGrid w:val="0"/>
        <w:spacing w:line="300" w:lineRule="auto"/>
        <w:rPr>
          <w:rFonts w:ascii="楷体" w:hAnsi="楷体" w:eastAsia="楷体" w:cs="仿宋_GB2312"/>
          <w:sz w:val="32"/>
          <w:szCs w:val="32"/>
        </w:rPr>
      </w:pPr>
      <w:r>
        <w:rPr>
          <w:rFonts w:hint="eastAsia" w:ascii="仿宋" w:hAnsi="仿宋" w:eastAsia="仿宋" w:cs="仿宋_GB2312"/>
          <w:sz w:val="32"/>
          <w:szCs w:val="32"/>
        </w:rPr>
        <w:t>备注：本部门2022年没有使用国有资本经营预算拨款安排的支出</w:t>
      </w:r>
      <w:r>
        <w:rPr>
          <w:rFonts w:hint="eastAsia" w:ascii="楷体" w:hAnsi="楷体" w:eastAsia="楷体" w:cs="仿宋_GB2312"/>
          <w:sz w:val="32"/>
          <w:szCs w:val="32"/>
        </w:rPr>
        <w:t>。</w:t>
      </w:r>
    </w:p>
    <w:p>
      <w:pPr>
        <w:widowControl/>
        <w:spacing w:line="300" w:lineRule="auto"/>
        <w:jc w:val="left"/>
        <w:rPr>
          <w:rFonts w:ascii="黑体" w:hAnsi="黑体" w:eastAsia="黑体"/>
          <w:sz w:val="32"/>
          <w:szCs w:val="32"/>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八、一般公共预算支出经济分类情况表</w:t>
      </w:r>
    </w:p>
    <w:tbl>
      <w:tblPr>
        <w:tblStyle w:val="6"/>
        <w:tblW w:w="8237" w:type="dxa"/>
        <w:tblInd w:w="93" w:type="dxa"/>
        <w:tblLayout w:type="fixed"/>
        <w:tblCellMar>
          <w:top w:w="0" w:type="dxa"/>
          <w:left w:w="108" w:type="dxa"/>
          <w:bottom w:w="0" w:type="dxa"/>
          <w:right w:w="108" w:type="dxa"/>
        </w:tblCellMar>
      </w:tblPr>
      <w:tblGrid>
        <w:gridCol w:w="1575"/>
        <w:gridCol w:w="3969"/>
        <w:gridCol w:w="2693"/>
      </w:tblGrid>
      <w:tr>
        <w:tblPrEx>
          <w:tblCellMar>
            <w:top w:w="0" w:type="dxa"/>
            <w:left w:w="108" w:type="dxa"/>
            <w:bottom w:w="0" w:type="dxa"/>
            <w:right w:w="108" w:type="dxa"/>
          </w:tblCellMar>
        </w:tblPrEx>
        <w:trPr>
          <w:trHeight w:val="743" w:hRule="atLeast"/>
        </w:trPr>
        <w:tc>
          <w:tcPr>
            <w:tcW w:w="8237" w:type="dxa"/>
            <w:gridSpan w:val="3"/>
            <w:shd w:val="clear" w:color="auto" w:fill="FFFFFF"/>
            <w:noWrap/>
            <w:vAlign w:val="center"/>
          </w:tcPr>
          <w:p>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rPr>
              <w:t>2022年度一般公共预算支出经济分类情况表</w:t>
            </w:r>
          </w:p>
        </w:tc>
      </w:tr>
      <w:tr>
        <w:tblPrEx>
          <w:tblCellMar>
            <w:top w:w="0" w:type="dxa"/>
            <w:left w:w="108" w:type="dxa"/>
            <w:bottom w:w="0" w:type="dxa"/>
            <w:right w:w="108" w:type="dxa"/>
          </w:tblCellMar>
        </w:tblPrEx>
        <w:trPr>
          <w:trHeight w:val="360" w:hRule="atLeast"/>
        </w:trPr>
        <w:tc>
          <w:tcPr>
            <w:tcW w:w="1575" w:type="dxa"/>
            <w:shd w:val="clear" w:color="auto" w:fill="FFFFFF"/>
            <w:noWrap/>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　</w:t>
            </w:r>
          </w:p>
        </w:tc>
        <w:tc>
          <w:tcPr>
            <w:tcW w:w="3969" w:type="dxa"/>
            <w:noWrap/>
            <w:vAlign w:val="bottom"/>
          </w:tcPr>
          <w:p>
            <w:pPr>
              <w:widowControl/>
              <w:spacing w:line="240" w:lineRule="auto"/>
              <w:jc w:val="right"/>
              <w:rPr>
                <w:rFonts w:ascii="宋体" w:hAnsi="宋体" w:eastAsia="宋体" w:cs="宋体"/>
                <w:kern w:val="0"/>
                <w:sz w:val="20"/>
                <w:szCs w:val="20"/>
              </w:rPr>
            </w:pPr>
          </w:p>
        </w:tc>
        <w:tc>
          <w:tcPr>
            <w:tcW w:w="2693" w:type="dxa"/>
            <w:shd w:val="clear" w:color="auto" w:fill="FFFFFF"/>
            <w:noWrap/>
            <w:vAlign w:val="center"/>
          </w:tcPr>
          <w:p>
            <w:pPr>
              <w:widowControl/>
              <w:spacing w:line="240" w:lineRule="auto"/>
              <w:jc w:val="right"/>
              <w:rPr>
                <w:rFonts w:ascii="宋体" w:hAnsi="宋体" w:eastAsia="宋体" w:cs="宋体"/>
                <w:color w:val="000000"/>
                <w:kern w:val="0"/>
                <w:sz w:val="20"/>
                <w:szCs w:val="20"/>
              </w:rPr>
            </w:pPr>
            <w:r>
              <w:rPr>
                <w:rFonts w:hint="eastAsia" w:ascii="宋体" w:hAnsi="宋体" w:eastAsia="宋体" w:cs="宋体"/>
                <w:color w:val="000000"/>
                <w:kern w:val="0"/>
                <w:sz w:val="20"/>
                <w:szCs w:val="20"/>
              </w:rPr>
              <w:t>单位：万元</w:t>
            </w:r>
          </w:p>
        </w:tc>
      </w:tr>
      <w:tr>
        <w:tblPrEx>
          <w:tblCellMar>
            <w:top w:w="0" w:type="dxa"/>
            <w:left w:w="108" w:type="dxa"/>
            <w:bottom w:w="0" w:type="dxa"/>
            <w:right w:w="108" w:type="dxa"/>
          </w:tblCellMar>
        </w:tblPrEx>
        <w:trPr>
          <w:trHeight w:val="630" w:hRule="atLeast"/>
        </w:trPr>
        <w:tc>
          <w:tcPr>
            <w:tcW w:w="1575" w:type="dxa"/>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科目编码</w:t>
            </w:r>
          </w:p>
        </w:tc>
        <w:tc>
          <w:tcPr>
            <w:tcW w:w="3969" w:type="dxa"/>
            <w:tcBorders>
              <w:top w:val="single" w:color="000000" w:sz="4" w:space="0"/>
              <w:left w:val="nil"/>
              <w:bottom w:val="single" w:color="000000" w:sz="4" w:space="0"/>
              <w:right w:val="single" w:color="000000" w:sz="4" w:space="0"/>
            </w:tcBorders>
            <w:noWrap/>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科目名称</w:t>
            </w:r>
          </w:p>
        </w:tc>
        <w:tc>
          <w:tcPr>
            <w:tcW w:w="2693" w:type="dxa"/>
            <w:tcBorders>
              <w:top w:val="single" w:color="000000" w:sz="4" w:space="0"/>
              <w:left w:val="nil"/>
              <w:bottom w:val="nil"/>
              <w:right w:val="single" w:color="000000" w:sz="4" w:space="0"/>
            </w:tcBorders>
            <w:noWrap/>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预算数</w:t>
            </w:r>
          </w:p>
        </w:tc>
      </w:tr>
      <w:tr>
        <w:tblPrEx>
          <w:tblCellMar>
            <w:top w:w="0" w:type="dxa"/>
            <w:left w:w="108" w:type="dxa"/>
            <w:bottom w:w="0" w:type="dxa"/>
            <w:right w:w="108" w:type="dxa"/>
          </w:tblCellMar>
        </w:tblPrEx>
        <w:trPr>
          <w:trHeight w:val="402" w:hRule="atLeast"/>
        </w:trPr>
        <w:tc>
          <w:tcPr>
            <w:tcW w:w="5544" w:type="dxa"/>
            <w:gridSpan w:val="2"/>
            <w:tcBorders>
              <w:top w:val="single" w:color="000000" w:sz="4" w:space="0"/>
              <w:left w:val="single" w:color="000000" w:sz="4" w:space="0"/>
              <w:bottom w:val="single" w:color="000000" w:sz="4" w:space="0"/>
              <w:right w:val="single" w:color="000000" w:sz="4" w:space="0"/>
            </w:tcBorders>
            <w:noWrap/>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合计</w:t>
            </w:r>
          </w:p>
        </w:tc>
        <w:tc>
          <w:tcPr>
            <w:tcW w:w="2693" w:type="dxa"/>
            <w:tcBorders>
              <w:top w:val="single" w:color="000000" w:sz="4" w:space="0"/>
              <w:left w:val="nil"/>
              <w:bottom w:val="single" w:color="000000" w:sz="4" w:space="0"/>
              <w:right w:val="single" w:color="000000" w:sz="4" w:space="0"/>
            </w:tcBorders>
            <w:noWrap/>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526.45</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301</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工资福利支出</w:t>
            </w:r>
          </w:p>
        </w:tc>
        <w:tc>
          <w:tcPr>
            <w:tcW w:w="2693" w:type="dxa"/>
            <w:tcBorders>
              <w:top w:val="nil"/>
              <w:left w:val="nil"/>
              <w:bottom w:val="single" w:color="000000" w:sz="4" w:space="0"/>
              <w:right w:val="single" w:color="000000"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409.99</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302</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商品和服务支出</w:t>
            </w:r>
          </w:p>
        </w:tc>
        <w:tc>
          <w:tcPr>
            <w:tcW w:w="2693" w:type="dxa"/>
            <w:tcBorders>
              <w:top w:val="nil"/>
              <w:left w:val="nil"/>
              <w:bottom w:val="single" w:color="000000" w:sz="4" w:space="0"/>
              <w:right w:val="single" w:color="000000" w:sz="4" w:space="0"/>
            </w:tcBorders>
            <w:noWrap/>
            <w:vAlign w:val="center"/>
          </w:tcPr>
          <w:p>
            <w:pPr>
              <w:widowControl/>
              <w:spacing w:line="240" w:lineRule="auto"/>
              <w:jc w:val="center"/>
              <w:rPr>
                <w:rFonts w:ascii="宋体" w:hAnsi="宋体" w:eastAsia="宋体" w:cs="宋体"/>
                <w:color w:val="000000"/>
                <w:kern w:val="0"/>
                <w:sz w:val="22"/>
              </w:rPr>
            </w:pPr>
            <w:r>
              <w:rPr>
                <w:rFonts w:hint="eastAsia" w:ascii="宋体" w:hAnsi="宋体" w:eastAsia="宋体" w:cs="宋体"/>
                <w:color w:val="000000"/>
                <w:kern w:val="0"/>
                <w:sz w:val="22"/>
              </w:rPr>
              <w:t>116.46</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303</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对个人和家庭的补助</w:t>
            </w:r>
          </w:p>
        </w:tc>
        <w:tc>
          <w:tcPr>
            <w:tcW w:w="2693" w:type="dxa"/>
            <w:tcBorders>
              <w:top w:val="nil"/>
              <w:left w:val="nil"/>
              <w:bottom w:val="single" w:color="000000" w:sz="4" w:space="0"/>
              <w:right w:val="single" w:color="000000" w:sz="4" w:space="0"/>
            </w:tcBorders>
            <w:noWrap/>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307</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债务利息及费用支出</w:t>
            </w:r>
          </w:p>
        </w:tc>
        <w:tc>
          <w:tcPr>
            <w:tcW w:w="2693" w:type="dxa"/>
            <w:tcBorders>
              <w:top w:val="nil"/>
              <w:left w:val="nil"/>
              <w:bottom w:val="single" w:color="000000" w:sz="4" w:space="0"/>
              <w:right w:val="single" w:color="000000" w:sz="4" w:space="0"/>
            </w:tcBorders>
            <w:noWrap/>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309</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资本性支出（基本建设）</w:t>
            </w:r>
          </w:p>
        </w:tc>
        <w:tc>
          <w:tcPr>
            <w:tcW w:w="2693" w:type="dxa"/>
            <w:tcBorders>
              <w:top w:val="nil"/>
              <w:left w:val="nil"/>
              <w:bottom w:val="single" w:color="000000" w:sz="4" w:space="0"/>
              <w:right w:val="single" w:color="000000" w:sz="4" w:space="0"/>
            </w:tcBorders>
            <w:noWrap/>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310</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资本性支出</w:t>
            </w:r>
          </w:p>
        </w:tc>
        <w:tc>
          <w:tcPr>
            <w:tcW w:w="2693" w:type="dxa"/>
            <w:tcBorders>
              <w:top w:val="nil"/>
              <w:left w:val="nil"/>
              <w:bottom w:val="single" w:color="000000" w:sz="4" w:space="0"/>
              <w:right w:val="single" w:color="000000" w:sz="4" w:space="0"/>
            </w:tcBorders>
            <w:noWrap/>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311</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对企业补助（基本建设）</w:t>
            </w:r>
          </w:p>
        </w:tc>
        <w:tc>
          <w:tcPr>
            <w:tcW w:w="2693" w:type="dxa"/>
            <w:tcBorders>
              <w:top w:val="nil"/>
              <w:left w:val="nil"/>
              <w:bottom w:val="single" w:color="000000" w:sz="4" w:space="0"/>
              <w:right w:val="single" w:color="000000" w:sz="4" w:space="0"/>
            </w:tcBorders>
            <w:noWrap/>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312</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对企业补助</w:t>
            </w:r>
          </w:p>
        </w:tc>
        <w:tc>
          <w:tcPr>
            <w:tcW w:w="2693" w:type="dxa"/>
            <w:tcBorders>
              <w:top w:val="nil"/>
              <w:left w:val="nil"/>
              <w:bottom w:val="single" w:color="000000" w:sz="4" w:space="0"/>
              <w:right w:val="single" w:color="000000" w:sz="4" w:space="0"/>
            </w:tcBorders>
            <w:noWrap/>
            <w:vAlign w:val="center"/>
          </w:tcPr>
          <w:p>
            <w:pPr>
              <w:widowControl/>
              <w:spacing w:line="240" w:lineRule="auto"/>
              <w:jc w:val="right"/>
              <w:rPr>
                <w:rFonts w:ascii="宋体" w:hAnsi="宋体" w:eastAsia="宋体" w:cs="宋体"/>
                <w:color w:val="000000"/>
                <w:kern w:val="0"/>
                <w:sz w:val="22"/>
              </w:rPr>
            </w:pPr>
            <w:r>
              <w:rPr>
                <w:rFonts w:hint="eastAsia" w:ascii="宋体" w:hAnsi="宋体" w:eastAsia="宋体" w:cs="宋体"/>
                <w:color w:val="000000"/>
                <w:kern w:val="0"/>
                <w:sz w:val="22"/>
              </w:rPr>
              <w:t>　</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313</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对社会保障基金补助</w:t>
            </w:r>
          </w:p>
        </w:tc>
        <w:tc>
          <w:tcPr>
            <w:tcW w:w="2693" w:type="dxa"/>
            <w:tcBorders>
              <w:top w:val="nil"/>
              <w:left w:val="nil"/>
              <w:bottom w:val="single" w:color="000000" w:sz="4" w:space="0"/>
              <w:right w:val="single" w:color="000000" w:sz="4" w:space="0"/>
            </w:tcBorders>
            <w:noWrap/>
            <w:vAlign w:val="center"/>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r>
      <w:tr>
        <w:tblPrEx>
          <w:tblCellMar>
            <w:top w:w="0" w:type="dxa"/>
            <w:left w:w="108" w:type="dxa"/>
            <w:bottom w:w="0" w:type="dxa"/>
            <w:right w:w="108" w:type="dxa"/>
          </w:tblCellMar>
        </w:tblPrEx>
        <w:trPr>
          <w:trHeight w:val="402" w:hRule="atLeast"/>
        </w:trPr>
        <w:tc>
          <w:tcPr>
            <w:tcW w:w="1575" w:type="dxa"/>
            <w:tcBorders>
              <w:top w:val="nil"/>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399</w:t>
            </w:r>
          </w:p>
        </w:tc>
        <w:tc>
          <w:tcPr>
            <w:tcW w:w="3969" w:type="dxa"/>
            <w:tcBorders>
              <w:top w:val="nil"/>
              <w:left w:val="nil"/>
              <w:bottom w:val="single" w:color="000000" w:sz="4" w:space="0"/>
              <w:right w:val="single" w:color="000000" w:sz="4" w:space="0"/>
            </w:tcBorders>
            <w:vAlign w:val="center"/>
          </w:tcPr>
          <w:p>
            <w:pPr>
              <w:widowControl/>
              <w:spacing w:line="240" w:lineRule="auto"/>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其他支出</w:t>
            </w:r>
          </w:p>
        </w:tc>
        <w:tc>
          <w:tcPr>
            <w:tcW w:w="2693" w:type="dxa"/>
            <w:tcBorders>
              <w:top w:val="nil"/>
              <w:left w:val="nil"/>
              <w:bottom w:val="single" w:color="000000" w:sz="4" w:space="0"/>
              <w:right w:val="single" w:color="000000" w:sz="4" w:space="0"/>
            </w:tcBorders>
            <w:noWrap/>
            <w:vAlign w:val="center"/>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r>
    </w:tbl>
    <w:p>
      <w:pPr>
        <w:widowControl/>
        <w:spacing w:line="240" w:lineRule="auto"/>
        <w:jc w:val="left"/>
        <w:rPr>
          <w:rFonts w:ascii="黑体" w:hAnsi="黑体" w:eastAsia="黑体"/>
          <w:sz w:val="32"/>
          <w:szCs w:val="32"/>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九、一般公共预算基本支出经济分类情况表</w:t>
      </w:r>
    </w:p>
    <w:tbl>
      <w:tblPr>
        <w:tblStyle w:val="6"/>
        <w:tblW w:w="8567" w:type="dxa"/>
        <w:tblInd w:w="93" w:type="dxa"/>
        <w:tblLayout w:type="fixed"/>
        <w:tblCellMar>
          <w:top w:w="0" w:type="dxa"/>
          <w:left w:w="108" w:type="dxa"/>
          <w:bottom w:w="0" w:type="dxa"/>
          <w:right w:w="108" w:type="dxa"/>
        </w:tblCellMar>
      </w:tblPr>
      <w:tblGrid>
        <w:gridCol w:w="1149"/>
        <w:gridCol w:w="3260"/>
        <w:gridCol w:w="1418"/>
        <w:gridCol w:w="1418"/>
        <w:gridCol w:w="1322"/>
      </w:tblGrid>
      <w:tr>
        <w:tblPrEx>
          <w:tblCellMar>
            <w:top w:w="0" w:type="dxa"/>
            <w:left w:w="108" w:type="dxa"/>
            <w:bottom w:w="0" w:type="dxa"/>
            <w:right w:w="108" w:type="dxa"/>
          </w:tblCellMar>
        </w:tblPrEx>
        <w:trPr>
          <w:trHeight w:val="675" w:hRule="atLeast"/>
        </w:trPr>
        <w:tc>
          <w:tcPr>
            <w:tcW w:w="8567" w:type="dxa"/>
            <w:gridSpan w:val="5"/>
            <w:noWrap/>
            <w:vAlign w:val="center"/>
          </w:tcPr>
          <w:p>
            <w:pPr>
              <w:widowControl/>
              <w:spacing w:line="240" w:lineRule="auto"/>
              <w:jc w:val="center"/>
              <w:rPr>
                <w:rFonts w:ascii="方正小标宋简体" w:hAnsi="宋体" w:eastAsia="方正小标宋简体" w:cs="宋体"/>
                <w:color w:val="000000"/>
                <w:kern w:val="0"/>
                <w:sz w:val="32"/>
                <w:szCs w:val="32"/>
              </w:rPr>
            </w:pPr>
            <w:r>
              <w:rPr>
                <w:rFonts w:hint="eastAsia" w:ascii="方正小标宋简体" w:hAnsi="宋体" w:eastAsia="方正小标宋简体" w:cs="宋体"/>
                <w:color w:val="000000"/>
                <w:kern w:val="0"/>
                <w:sz w:val="32"/>
                <w:szCs w:val="32"/>
              </w:rPr>
              <w:t>2022年度一般公共预算基本支出经济分类情况表</w:t>
            </w:r>
          </w:p>
        </w:tc>
      </w:tr>
      <w:tr>
        <w:tblPrEx>
          <w:tblCellMar>
            <w:top w:w="0" w:type="dxa"/>
            <w:left w:w="108" w:type="dxa"/>
            <w:bottom w:w="0" w:type="dxa"/>
            <w:right w:w="108" w:type="dxa"/>
          </w:tblCellMar>
        </w:tblPrEx>
        <w:trPr>
          <w:trHeight w:val="420" w:hRule="atLeast"/>
        </w:trPr>
        <w:tc>
          <w:tcPr>
            <w:tcW w:w="1149" w:type="dxa"/>
            <w:noWrap/>
            <w:vAlign w:val="center"/>
          </w:tcPr>
          <w:p>
            <w:pPr>
              <w:widowControl/>
              <w:spacing w:line="240" w:lineRule="auto"/>
              <w:jc w:val="left"/>
              <w:rPr>
                <w:rFonts w:ascii="Arial" w:hAnsi="Arial" w:eastAsia="宋体" w:cs="Arial"/>
                <w:color w:val="000000"/>
                <w:kern w:val="0"/>
                <w:sz w:val="20"/>
                <w:szCs w:val="20"/>
              </w:rPr>
            </w:pPr>
          </w:p>
        </w:tc>
        <w:tc>
          <w:tcPr>
            <w:tcW w:w="4678" w:type="dxa"/>
            <w:gridSpan w:val="2"/>
            <w:noWrap/>
            <w:vAlign w:val="center"/>
          </w:tcPr>
          <w:p>
            <w:pPr>
              <w:widowControl/>
              <w:spacing w:line="240" w:lineRule="auto"/>
              <w:jc w:val="right"/>
              <w:rPr>
                <w:rFonts w:ascii="宋体" w:hAnsi="宋体" w:eastAsia="宋体" w:cs="宋体"/>
                <w:kern w:val="0"/>
                <w:sz w:val="22"/>
              </w:rPr>
            </w:pPr>
          </w:p>
        </w:tc>
        <w:tc>
          <w:tcPr>
            <w:tcW w:w="1418" w:type="dxa"/>
          </w:tcPr>
          <w:p>
            <w:pPr>
              <w:widowControl/>
              <w:spacing w:line="240" w:lineRule="auto"/>
              <w:jc w:val="right"/>
              <w:rPr>
                <w:rFonts w:ascii="宋体" w:hAnsi="宋体" w:eastAsia="宋体" w:cs="宋体"/>
                <w:kern w:val="0"/>
                <w:sz w:val="22"/>
              </w:rPr>
            </w:pPr>
          </w:p>
        </w:tc>
        <w:tc>
          <w:tcPr>
            <w:tcW w:w="1322" w:type="dxa"/>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tblPrEx>
          <w:tblCellMar>
            <w:top w:w="0" w:type="dxa"/>
            <w:left w:w="108" w:type="dxa"/>
            <w:bottom w:w="0" w:type="dxa"/>
            <w:right w:w="108" w:type="dxa"/>
          </w:tblCellMar>
        </w:tblPrEx>
        <w:trPr>
          <w:trHeight w:val="567" w:hRule="atLeast"/>
        </w:trPr>
        <w:tc>
          <w:tcPr>
            <w:tcW w:w="1149" w:type="dxa"/>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科目编码</w:t>
            </w:r>
          </w:p>
        </w:tc>
        <w:tc>
          <w:tcPr>
            <w:tcW w:w="326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科目名称</w:t>
            </w:r>
          </w:p>
        </w:tc>
        <w:tc>
          <w:tcPr>
            <w:tcW w:w="1418"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合计</w:t>
            </w:r>
          </w:p>
        </w:tc>
        <w:tc>
          <w:tcPr>
            <w:tcW w:w="1418"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人员经费</w:t>
            </w:r>
          </w:p>
        </w:tc>
        <w:tc>
          <w:tcPr>
            <w:tcW w:w="1322" w:type="dxa"/>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公用经费</w:t>
            </w:r>
          </w:p>
        </w:tc>
      </w:tr>
      <w:tr>
        <w:tblPrEx>
          <w:tblCellMar>
            <w:top w:w="0" w:type="dxa"/>
            <w:left w:w="108" w:type="dxa"/>
            <w:bottom w:w="0" w:type="dxa"/>
            <w:right w:w="108" w:type="dxa"/>
          </w:tblCellMar>
        </w:tblPrEx>
        <w:trPr>
          <w:trHeight w:val="419" w:hRule="atLeast"/>
        </w:trPr>
        <w:tc>
          <w:tcPr>
            <w:tcW w:w="4409" w:type="dxa"/>
            <w:gridSpan w:val="2"/>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合计</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459.54</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429.99</w:t>
            </w:r>
          </w:p>
        </w:tc>
        <w:tc>
          <w:tcPr>
            <w:tcW w:w="1322"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29.55</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301</w:t>
            </w: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工资福利支出</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409.99</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409.99</w:t>
            </w:r>
          </w:p>
        </w:tc>
        <w:tc>
          <w:tcPr>
            <w:tcW w:w="1322"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30101</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基本工资</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95.64</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95.64</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30102</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津贴补贴</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85.2</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85.2</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30103</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奖金</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75.34</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75.34</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30107</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绩效工资</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31.8</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31.8</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30108</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机关事业单位基本养老保险缴费</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34.04</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34.04</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30109</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职业年金缴费</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30110</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职工基本医疗保险缴费</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17.02</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17.02</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30111</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公务员医疗补助缴费</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14.9</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14.9</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30112</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其他社会保障缴费</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1.81</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1.81</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30113</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住房公积金</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54.24</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54.24</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30114</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医疗费</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1418"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30199</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其他工资福利支出</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1418"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302</w:t>
            </w:r>
          </w:p>
        </w:tc>
        <w:tc>
          <w:tcPr>
            <w:tcW w:w="3260" w:type="dxa"/>
            <w:tcBorders>
              <w:top w:val="nil"/>
              <w:left w:val="nil"/>
              <w:bottom w:val="single" w:color="auto" w:sz="4" w:space="0"/>
              <w:right w:val="single" w:color="auto" w:sz="4" w:space="0"/>
            </w:tcBorders>
            <w:noWrap/>
            <w:vAlign w:val="center"/>
          </w:tcPr>
          <w:p>
            <w:pPr>
              <w:widowControl/>
              <w:spacing w:line="240" w:lineRule="auto"/>
              <w:jc w:val="left"/>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商品和服务支出</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49.55</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20</w:t>
            </w:r>
          </w:p>
        </w:tc>
        <w:tc>
          <w:tcPr>
            <w:tcW w:w="1322"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18"/>
                <w:szCs w:val="18"/>
              </w:rPr>
            </w:pPr>
            <w:r>
              <w:rPr>
                <w:rFonts w:hint="eastAsia" w:ascii="宋体" w:hAnsi="宋体" w:eastAsia="宋体" w:cs="宋体"/>
                <w:b/>
                <w:bCs/>
                <w:color w:val="000000"/>
                <w:kern w:val="0"/>
                <w:sz w:val="18"/>
                <w:szCs w:val="18"/>
              </w:rPr>
              <w:t>29.55</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30201</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办公费</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18.15</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18.15</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30211</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差旅费</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1418"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30212</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因公出国（境）费用</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1418"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30215</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会议费</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1418"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30216</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培训费</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1418"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30217</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公务接待费</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1.5</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1.5</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30218</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专用材料费</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1418"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30226</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劳务费</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20</w:t>
            </w: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30227</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委托业务费</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1418"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30228</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工会经费</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6.15</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6.15</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30231</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公务用车运行维护费</w:t>
            </w:r>
          </w:p>
        </w:tc>
        <w:tc>
          <w:tcPr>
            <w:tcW w:w="1418" w:type="dxa"/>
            <w:tcBorders>
              <w:top w:val="nil"/>
              <w:left w:val="nil"/>
              <w:bottom w:val="single" w:color="auto" w:sz="4" w:space="0"/>
              <w:right w:val="single" w:color="auto" w:sz="4" w:space="0"/>
            </w:tcBorders>
            <w:noWrap/>
            <w:vAlign w:val="center"/>
          </w:tcPr>
          <w:p>
            <w:pPr>
              <w:widowControl/>
              <w:spacing w:line="240" w:lineRule="auto"/>
              <w:jc w:val="right"/>
              <w:rPr>
                <w:rFonts w:ascii="宋体" w:hAnsi="宋体" w:eastAsia="宋体" w:cs="宋体"/>
                <w:color w:val="000000"/>
                <w:kern w:val="0"/>
                <w:sz w:val="18"/>
                <w:szCs w:val="18"/>
              </w:rPr>
            </w:pPr>
            <w:r>
              <w:rPr>
                <w:rFonts w:hint="eastAsia" w:ascii="宋体" w:hAnsi="宋体" w:eastAsia="宋体" w:cs="宋体"/>
                <w:color w:val="000000"/>
                <w:kern w:val="0"/>
                <w:sz w:val="18"/>
                <w:szCs w:val="18"/>
              </w:rPr>
              <w:t>　</w:t>
            </w:r>
          </w:p>
        </w:tc>
        <w:tc>
          <w:tcPr>
            <w:tcW w:w="1418"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right"/>
              <w:rPr>
                <w:rFonts w:ascii="宋体" w:hAnsi="宋体" w:eastAsia="宋体" w:cs="宋体"/>
                <w:color w:val="000000"/>
                <w:kern w:val="0"/>
                <w:sz w:val="18"/>
                <w:szCs w:val="18"/>
              </w:rPr>
            </w:pP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30239</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其他交通费用</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1.8</w:t>
            </w:r>
          </w:p>
        </w:tc>
      </w:tr>
      <w:tr>
        <w:tblPrEx>
          <w:tblCellMar>
            <w:top w:w="0" w:type="dxa"/>
            <w:left w:w="108" w:type="dxa"/>
            <w:bottom w:w="0" w:type="dxa"/>
            <w:right w:w="108" w:type="dxa"/>
          </w:tblCellMar>
        </w:tblPrEx>
        <w:trPr>
          <w:trHeight w:val="402" w:hRule="atLeast"/>
        </w:trPr>
        <w:tc>
          <w:tcPr>
            <w:tcW w:w="1149"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30299</w:t>
            </w:r>
          </w:p>
        </w:tc>
        <w:tc>
          <w:tcPr>
            <w:tcW w:w="3260" w:type="dxa"/>
            <w:tcBorders>
              <w:top w:val="nil"/>
              <w:left w:val="nil"/>
              <w:bottom w:val="single" w:color="auto" w:sz="4" w:space="0"/>
              <w:right w:val="single" w:color="auto" w:sz="4" w:space="0"/>
            </w:tcBorders>
            <w:noWrap/>
            <w:vAlign w:val="center"/>
          </w:tcPr>
          <w:p>
            <w:pPr>
              <w:widowControl/>
              <w:spacing w:line="240" w:lineRule="auto"/>
              <w:ind w:firstLine="360" w:firstLineChars="200"/>
              <w:jc w:val="left"/>
              <w:rPr>
                <w:rFonts w:ascii="宋体" w:hAnsi="宋体" w:eastAsia="宋体" w:cs="宋体"/>
                <w:color w:val="000000"/>
                <w:kern w:val="0"/>
                <w:sz w:val="18"/>
                <w:szCs w:val="18"/>
              </w:rPr>
            </w:pPr>
            <w:r>
              <w:rPr>
                <w:rFonts w:hint="eastAsia" w:ascii="宋体" w:hAnsi="宋体" w:eastAsia="宋体" w:cs="宋体"/>
                <w:color w:val="000000"/>
                <w:kern w:val="0"/>
                <w:sz w:val="18"/>
                <w:szCs w:val="18"/>
              </w:rPr>
              <w:t>其他商品和服务支出</w:t>
            </w:r>
          </w:p>
        </w:tc>
        <w:tc>
          <w:tcPr>
            <w:tcW w:w="1418"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1.95</w:t>
            </w:r>
          </w:p>
        </w:tc>
        <w:tc>
          <w:tcPr>
            <w:tcW w:w="1418"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p>
        </w:tc>
        <w:tc>
          <w:tcPr>
            <w:tcW w:w="1322"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color w:val="000000"/>
                <w:kern w:val="0"/>
                <w:sz w:val="18"/>
                <w:szCs w:val="18"/>
              </w:rPr>
            </w:pPr>
            <w:r>
              <w:rPr>
                <w:rFonts w:hint="eastAsia" w:ascii="宋体" w:hAnsi="宋体" w:eastAsia="宋体" w:cs="宋体"/>
                <w:color w:val="000000"/>
                <w:kern w:val="0"/>
                <w:sz w:val="18"/>
                <w:szCs w:val="18"/>
              </w:rPr>
              <w:t>1.95</w:t>
            </w:r>
          </w:p>
        </w:tc>
      </w:tr>
    </w:tbl>
    <w:p>
      <w:pPr>
        <w:widowControl/>
        <w:spacing w:line="300" w:lineRule="auto"/>
        <w:jc w:val="left"/>
        <w:rPr>
          <w:rFonts w:ascii="黑体" w:hAnsi="黑体" w:eastAsia="黑体"/>
          <w:sz w:val="32"/>
          <w:szCs w:val="32"/>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十、一般公共预算“三公”经费支出预算表</w:t>
      </w:r>
    </w:p>
    <w:tbl>
      <w:tblPr>
        <w:tblStyle w:val="6"/>
        <w:tblW w:w="7848" w:type="dxa"/>
        <w:tblInd w:w="93" w:type="dxa"/>
        <w:tblLayout w:type="fixed"/>
        <w:tblCellMar>
          <w:top w:w="0" w:type="dxa"/>
          <w:left w:w="108" w:type="dxa"/>
          <w:bottom w:w="0" w:type="dxa"/>
          <w:right w:w="108" w:type="dxa"/>
        </w:tblCellMar>
      </w:tblPr>
      <w:tblGrid>
        <w:gridCol w:w="4268"/>
        <w:gridCol w:w="3580"/>
      </w:tblGrid>
      <w:tr>
        <w:tblPrEx>
          <w:tblCellMar>
            <w:top w:w="0" w:type="dxa"/>
            <w:left w:w="108" w:type="dxa"/>
            <w:bottom w:w="0" w:type="dxa"/>
            <w:right w:w="108" w:type="dxa"/>
          </w:tblCellMar>
        </w:tblPrEx>
        <w:trPr>
          <w:trHeight w:val="570" w:hRule="atLeast"/>
        </w:trPr>
        <w:tc>
          <w:tcPr>
            <w:tcW w:w="7848" w:type="dxa"/>
            <w:gridSpan w:val="2"/>
            <w:noWrap/>
            <w:vAlign w:val="center"/>
          </w:tcPr>
          <w:p>
            <w:pPr>
              <w:widowControl/>
              <w:spacing w:line="240" w:lineRule="auto"/>
              <w:jc w:val="center"/>
              <w:rPr>
                <w:rFonts w:ascii="方正小标宋简体" w:hAnsi="黑体" w:eastAsia="方正小标宋简体" w:cs="宋体"/>
                <w:kern w:val="0"/>
                <w:sz w:val="32"/>
                <w:szCs w:val="32"/>
              </w:rPr>
            </w:pPr>
            <w:r>
              <w:rPr>
                <w:rFonts w:hint="eastAsia" w:ascii="方正小标宋简体" w:hAnsi="黑体" w:eastAsia="方正小标宋简体" w:cs="宋体"/>
                <w:kern w:val="0"/>
                <w:sz w:val="32"/>
                <w:szCs w:val="32"/>
              </w:rPr>
              <w:t>2022年度一般公共预算“三公”经费支出预算表</w:t>
            </w:r>
          </w:p>
        </w:tc>
      </w:tr>
      <w:tr>
        <w:tblPrEx>
          <w:tblCellMar>
            <w:top w:w="0" w:type="dxa"/>
            <w:left w:w="108" w:type="dxa"/>
            <w:bottom w:w="0" w:type="dxa"/>
            <w:right w:w="108" w:type="dxa"/>
          </w:tblCellMar>
        </w:tblPrEx>
        <w:trPr>
          <w:trHeight w:val="360" w:hRule="atLeast"/>
        </w:trPr>
        <w:tc>
          <w:tcPr>
            <w:tcW w:w="4268" w:type="dxa"/>
            <w:noWrap/>
            <w:vAlign w:val="center"/>
          </w:tcPr>
          <w:p>
            <w:pPr>
              <w:widowControl/>
              <w:spacing w:line="240" w:lineRule="auto"/>
              <w:jc w:val="left"/>
              <w:rPr>
                <w:rFonts w:ascii="楷体_GB2312" w:hAnsi="宋体" w:eastAsia="楷体_GB2312" w:cs="宋体"/>
                <w:kern w:val="0"/>
                <w:sz w:val="24"/>
                <w:szCs w:val="24"/>
              </w:rPr>
            </w:pPr>
          </w:p>
        </w:tc>
        <w:tc>
          <w:tcPr>
            <w:tcW w:w="3580" w:type="dxa"/>
            <w:noWrap/>
            <w:vAlign w:val="center"/>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tblPrEx>
          <w:tblCellMar>
            <w:top w:w="0" w:type="dxa"/>
            <w:left w:w="108" w:type="dxa"/>
            <w:bottom w:w="0" w:type="dxa"/>
            <w:right w:w="108" w:type="dxa"/>
          </w:tblCellMar>
        </w:tblPrEx>
        <w:trPr>
          <w:trHeight w:val="402" w:hRule="atLeast"/>
        </w:trPr>
        <w:tc>
          <w:tcPr>
            <w:tcW w:w="4268"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项目</w:t>
            </w:r>
          </w:p>
        </w:tc>
        <w:tc>
          <w:tcPr>
            <w:tcW w:w="3580" w:type="dxa"/>
            <w:tcBorders>
              <w:top w:val="single" w:color="auto" w:sz="4" w:space="0"/>
              <w:left w:val="nil"/>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预算数</w:t>
            </w:r>
          </w:p>
        </w:tc>
      </w:tr>
      <w:tr>
        <w:tblPrEx>
          <w:tblCellMar>
            <w:top w:w="0" w:type="dxa"/>
            <w:left w:w="108" w:type="dxa"/>
            <w:bottom w:w="0" w:type="dxa"/>
            <w:right w:w="108" w:type="dxa"/>
          </w:tblCellMar>
        </w:tblPrEx>
        <w:trPr>
          <w:trHeight w:val="400" w:hRule="atLeast"/>
        </w:trPr>
        <w:tc>
          <w:tcPr>
            <w:tcW w:w="4268" w:type="dxa"/>
            <w:tcBorders>
              <w:top w:val="nil"/>
              <w:left w:val="single" w:color="auto" w:sz="4" w:space="0"/>
              <w:bottom w:val="single" w:color="auto" w:sz="4" w:space="0"/>
              <w:right w:val="single" w:color="auto" w:sz="4" w:space="0"/>
            </w:tcBorders>
            <w:noWrap/>
            <w:vAlign w:val="center"/>
          </w:tcPr>
          <w:p>
            <w:pPr>
              <w:widowControl/>
              <w:spacing w:line="240" w:lineRule="auto"/>
              <w:jc w:val="center"/>
              <w:rPr>
                <w:rFonts w:ascii="宋体" w:hAnsi="宋体" w:eastAsia="宋体" w:cs="宋体"/>
                <w:b/>
                <w:bCs/>
                <w:kern w:val="0"/>
                <w:sz w:val="22"/>
              </w:rPr>
            </w:pPr>
            <w:r>
              <w:rPr>
                <w:rFonts w:hint="eastAsia" w:ascii="宋体" w:hAnsi="宋体" w:eastAsia="宋体" w:cs="宋体"/>
                <w:b/>
                <w:bCs/>
                <w:kern w:val="0"/>
                <w:sz w:val="22"/>
              </w:rPr>
              <w:t>合计</w:t>
            </w:r>
          </w:p>
        </w:tc>
        <w:tc>
          <w:tcPr>
            <w:tcW w:w="3580"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0.1653</w:t>
            </w:r>
          </w:p>
        </w:tc>
      </w:tr>
      <w:tr>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1、因公出国（境）费用</w:t>
            </w:r>
          </w:p>
        </w:tc>
        <w:tc>
          <w:tcPr>
            <w:tcW w:w="3580"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0</w:t>
            </w:r>
          </w:p>
        </w:tc>
      </w:tr>
      <w:tr>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2、公务接待费</w:t>
            </w:r>
          </w:p>
        </w:tc>
        <w:tc>
          <w:tcPr>
            <w:tcW w:w="3580"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0.1653</w:t>
            </w:r>
          </w:p>
        </w:tc>
      </w:tr>
      <w:tr>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noWrap/>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3、公务用车购置及运行费</w:t>
            </w:r>
          </w:p>
        </w:tc>
        <w:tc>
          <w:tcPr>
            <w:tcW w:w="3580"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0</w:t>
            </w:r>
          </w:p>
        </w:tc>
      </w:tr>
      <w:tr>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vAlign w:val="center"/>
          </w:tcPr>
          <w:p>
            <w:pPr>
              <w:widowControl/>
              <w:spacing w:line="240" w:lineRule="auto"/>
              <w:ind w:firstLine="440" w:firstLineChars="200"/>
              <w:jc w:val="left"/>
              <w:rPr>
                <w:rFonts w:ascii="宋体" w:hAnsi="宋体" w:eastAsia="宋体" w:cs="宋体"/>
                <w:kern w:val="0"/>
                <w:sz w:val="22"/>
              </w:rPr>
            </w:pPr>
            <w:r>
              <w:rPr>
                <w:rFonts w:hint="eastAsia" w:ascii="宋体" w:hAnsi="宋体" w:eastAsia="宋体" w:cs="宋体"/>
                <w:kern w:val="0"/>
                <w:sz w:val="22"/>
              </w:rPr>
              <w:t>其中：（1）公务用车购置费</w:t>
            </w:r>
          </w:p>
        </w:tc>
        <w:tc>
          <w:tcPr>
            <w:tcW w:w="3580"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0</w:t>
            </w:r>
          </w:p>
        </w:tc>
      </w:tr>
      <w:tr>
        <w:tblPrEx>
          <w:tblCellMar>
            <w:top w:w="0" w:type="dxa"/>
            <w:left w:w="108" w:type="dxa"/>
            <w:bottom w:w="0" w:type="dxa"/>
            <w:right w:w="108" w:type="dxa"/>
          </w:tblCellMar>
        </w:tblPrEx>
        <w:trPr>
          <w:trHeight w:val="402" w:hRule="atLeast"/>
        </w:trPr>
        <w:tc>
          <w:tcPr>
            <w:tcW w:w="4268" w:type="dxa"/>
            <w:tcBorders>
              <w:top w:val="nil"/>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kern w:val="0"/>
                <w:sz w:val="22"/>
              </w:rPr>
            </w:pPr>
            <w:r>
              <w:rPr>
                <w:rFonts w:hint="eastAsia" w:ascii="宋体" w:hAnsi="宋体" w:eastAsia="宋体" w:cs="宋体"/>
                <w:kern w:val="0"/>
                <w:sz w:val="22"/>
              </w:rPr>
              <w:t>（2）公务用车运行费</w:t>
            </w:r>
          </w:p>
        </w:tc>
        <w:tc>
          <w:tcPr>
            <w:tcW w:w="3580" w:type="dxa"/>
            <w:tcBorders>
              <w:top w:val="nil"/>
              <w:left w:val="nil"/>
              <w:bottom w:val="single" w:color="auto" w:sz="4" w:space="0"/>
              <w:right w:val="single" w:color="auto" w:sz="4" w:space="0"/>
            </w:tcBorders>
            <w:noWrap/>
            <w:vAlign w:val="center"/>
          </w:tcPr>
          <w:p>
            <w:pPr>
              <w:widowControl/>
              <w:spacing w:line="240" w:lineRule="auto"/>
              <w:jc w:val="center"/>
              <w:rPr>
                <w:rFonts w:ascii="宋体" w:hAnsi="宋体" w:eastAsia="宋体" w:cs="宋体"/>
                <w:kern w:val="0"/>
                <w:sz w:val="22"/>
              </w:rPr>
            </w:pPr>
            <w:r>
              <w:rPr>
                <w:rFonts w:hint="eastAsia" w:ascii="宋体" w:hAnsi="宋体" w:eastAsia="宋体" w:cs="宋体"/>
                <w:kern w:val="0"/>
                <w:sz w:val="22"/>
              </w:rPr>
              <w:t>0</w:t>
            </w:r>
          </w:p>
        </w:tc>
      </w:tr>
    </w:tbl>
    <w:p>
      <w:pPr>
        <w:widowControl/>
        <w:spacing w:line="300" w:lineRule="auto"/>
        <w:jc w:val="left"/>
        <w:rPr>
          <w:rFonts w:ascii="楷体" w:hAnsi="楷体" w:eastAsia="楷体" w:cs="Times New Roman"/>
          <w:kern w:val="0"/>
          <w:sz w:val="32"/>
          <w:szCs w:val="21"/>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十一、部门专项资金管理清单目录</w:t>
      </w:r>
    </w:p>
    <w:tbl>
      <w:tblPr>
        <w:tblStyle w:val="6"/>
        <w:tblW w:w="14984" w:type="dxa"/>
        <w:tblInd w:w="93" w:type="dxa"/>
        <w:tblLayout w:type="fixed"/>
        <w:tblCellMar>
          <w:top w:w="0" w:type="dxa"/>
          <w:left w:w="108" w:type="dxa"/>
          <w:bottom w:w="0" w:type="dxa"/>
          <w:right w:w="108" w:type="dxa"/>
        </w:tblCellMar>
      </w:tblPr>
      <w:tblGrid>
        <w:gridCol w:w="1149"/>
        <w:gridCol w:w="1354"/>
        <w:gridCol w:w="2615"/>
        <w:gridCol w:w="709"/>
        <w:gridCol w:w="1559"/>
        <w:gridCol w:w="1843"/>
        <w:gridCol w:w="709"/>
        <w:gridCol w:w="261"/>
        <w:gridCol w:w="366"/>
        <w:gridCol w:w="709"/>
        <w:gridCol w:w="206"/>
        <w:gridCol w:w="674"/>
        <w:gridCol w:w="526"/>
        <w:gridCol w:w="376"/>
        <w:gridCol w:w="653"/>
        <w:gridCol w:w="289"/>
        <w:gridCol w:w="986"/>
      </w:tblGrid>
      <w:tr>
        <w:tblPrEx>
          <w:tblCellMar>
            <w:top w:w="0" w:type="dxa"/>
            <w:left w:w="108" w:type="dxa"/>
            <w:bottom w:w="0" w:type="dxa"/>
            <w:right w:w="108" w:type="dxa"/>
          </w:tblCellMar>
        </w:tblPrEx>
        <w:trPr>
          <w:gridAfter w:val="1"/>
          <w:wAfter w:w="986" w:type="dxa"/>
          <w:trHeight w:val="525" w:hRule="atLeast"/>
        </w:trPr>
        <w:tc>
          <w:tcPr>
            <w:tcW w:w="13998" w:type="dxa"/>
            <w:gridSpan w:val="16"/>
          </w:tcPr>
          <w:p>
            <w:pPr>
              <w:widowControl/>
              <w:spacing w:line="240" w:lineRule="auto"/>
              <w:jc w:val="center"/>
              <w:rPr>
                <w:rFonts w:ascii="方正小标宋简体" w:hAnsi="宋体" w:eastAsia="方正小标宋简体" w:cs="宋体"/>
                <w:kern w:val="0"/>
                <w:sz w:val="32"/>
                <w:szCs w:val="32"/>
              </w:rPr>
            </w:pPr>
            <w:r>
              <w:rPr>
                <w:rFonts w:hint="eastAsia" w:ascii="方正小标宋简体" w:hAnsi="宋体" w:eastAsia="方正小标宋简体" w:cs="宋体"/>
                <w:kern w:val="0"/>
                <w:sz w:val="32"/>
                <w:szCs w:val="32"/>
              </w:rPr>
              <w:t>2022年度部门专项资金管理清单目录</w:t>
            </w:r>
          </w:p>
        </w:tc>
      </w:tr>
      <w:tr>
        <w:tblPrEx>
          <w:tblCellMar>
            <w:top w:w="0" w:type="dxa"/>
            <w:left w:w="108" w:type="dxa"/>
            <w:bottom w:w="0" w:type="dxa"/>
            <w:right w:w="108" w:type="dxa"/>
          </w:tblCellMar>
        </w:tblPrEx>
        <w:trPr>
          <w:trHeight w:val="465" w:hRule="atLeast"/>
        </w:trPr>
        <w:tc>
          <w:tcPr>
            <w:tcW w:w="1149" w:type="dxa"/>
            <w:noWrap/>
            <w:vAlign w:val="bottom"/>
          </w:tcPr>
          <w:p>
            <w:pPr>
              <w:widowControl/>
              <w:spacing w:line="240" w:lineRule="auto"/>
              <w:jc w:val="left"/>
              <w:rPr>
                <w:rFonts w:ascii="宋体" w:hAnsi="宋体" w:eastAsia="宋体" w:cs="宋体"/>
                <w:kern w:val="0"/>
                <w:sz w:val="24"/>
                <w:szCs w:val="24"/>
              </w:rPr>
            </w:pPr>
          </w:p>
        </w:tc>
        <w:tc>
          <w:tcPr>
            <w:tcW w:w="1354" w:type="dxa"/>
            <w:noWrap/>
            <w:vAlign w:val="bottom"/>
          </w:tcPr>
          <w:p>
            <w:pPr>
              <w:widowControl/>
              <w:spacing w:line="240" w:lineRule="auto"/>
              <w:jc w:val="left"/>
              <w:rPr>
                <w:rFonts w:ascii="宋体" w:hAnsi="宋体" w:eastAsia="宋体" w:cs="宋体"/>
                <w:kern w:val="0"/>
                <w:sz w:val="24"/>
                <w:szCs w:val="24"/>
              </w:rPr>
            </w:pPr>
          </w:p>
        </w:tc>
        <w:tc>
          <w:tcPr>
            <w:tcW w:w="2615" w:type="dxa"/>
            <w:noWrap/>
            <w:vAlign w:val="bottom"/>
          </w:tcPr>
          <w:p>
            <w:pPr>
              <w:widowControl/>
              <w:spacing w:line="240" w:lineRule="auto"/>
              <w:jc w:val="left"/>
              <w:rPr>
                <w:rFonts w:ascii="宋体" w:hAnsi="宋体" w:eastAsia="宋体" w:cs="宋体"/>
                <w:kern w:val="0"/>
                <w:sz w:val="24"/>
                <w:szCs w:val="24"/>
              </w:rPr>
            </w:pPr>
          </w:p>
        </w:tc>
        <w:tc>
          <w:tcPr>
            <w:tcW w:w="709" w:type="dxa"/>
            <w:noWrap/>
            <w:vAlign w:val="bottom"/>
          </w:tcPr>
          <w:p>
            <w:pPr>
              <w:widowControl/>
              <w:spacing w:line="240" w:lineRule="auto"/>
              <w:jc w:val="left"/>
              <w:rPr>
                <w:rFonts w:ascii="宋体" w:hAnsi="宋体" w:eastAsia="宋体" w:cs="宋体"/>
                <w:kern w:val="0"/>
                <w:sz w:val="24"/>
                <w:szCs w:val="24"/>
              </w:rPr>
            </w:pPr>
          </w:p>
        </w:tc>
        <w:tc>
          <w:tcPr>
            <w:tcW w:w="1559" w:type="dxa"/>
            <w:noWrap/>
            <w:vAlign w:val="bottom"/>
          </w:tcPr>
          <w:p>
            <w:pPr>
              <w:widowControl/>
              <w:spacing w:line="240" w:lineRule="auto"/>
              <w:jc w:val="left"/>
              <w:rPr>
                <w:rFonts w:ascii="宋体" w:hAnsi="宋体" w:eastAsia="宋体" w:cs="宋体"/>
                <w:kern w:val="0"/>
                <w:sz w:val="24"/>
                <w:szCs w:val="24"/>
              </w:rPr>
            </w:pPr>
          </w:p>
        </w:tc>
        <w:tc>
          <w:tcPr>
            <w:tcW w:w="1843" w:type="dxa"/>
            <w:noWrap/>
            <w:vAlign w:val="bottom"/>
          </w:tcPr>
          <w:p>
            <w:pPr>
              <w:widowControl/>
              <w:spacing w:line="240" w:lineRule="auto"/>
              <w:jc w:val="left"/>
              <w:rPr>
                <w:rFonts w:ascii="宋体" w:hAnsi="宋体" w:eastAsia="宋体" w:cs="宋体"/>
                <w:kern w:val="0"/>
                <w:sz w:val="24"/>
                <w:szCs w:val="24"/>
              </w:rPr>
            </w:pPr>
          </w:p>
        </w:tc>
        <w:tc>
          <w:tcPr>
            <w:tcW w:w="709" w:type="dxa"/>
            <w:noWrap/>
            <w:vAlign w:val="bottom"/>
          </w:tcPr>
          <w:p>
            <w:pPr>
              <w:widowControl/>
              <w:spacing w:line="240" w:lineRule="auto"/>
              <w:jc w:val="left"/>
              <w:rPr>
                <w:rFonts w:ascii="宋体" w:hAnsi="宋体" w:eastAsia="宋体" w:cs="宋体"/>
                <w:kern w:val="0"/>
                <w:sz w:val="24"/>
                <w:szCs w:val="24"/>
              </w:rPr>
            </w:pPr>
          </w:p>
        </w:tc>
        <w:tc>
          <w:tcPr>
            <w:tcW w:w="261" w:type="dxa"/>
            <w:noWrap/>
            <w:vAlign w:val="bottom"/>
          </w:tcPr>
          <w:p>
            <w:pPr>
              <w:widowControl/>
              <w:spacing w:line="240" w:lineRule="auto"/>
              <w:jc w:val="left"/>
              <w:rPr>
                <w:rFonts w:ascii="宋体" w:hAnsi="宋体" w:eastAsia="宋体" w:cs="宋体"/>
                <w:kern w:val="0"/>
                <w:sz w:val="24"/>
                <w:szCs w:val="24"/>
              </w:rPr>
            </w:pPr>
          </w:p>
        </w:tc>
        <w:tc>
          <w:tcPr>
            <w:tcW w:w="1281" w:type="dxa"/>
            <w:gridSpan w:val="3"/>
            <w:noWrap/>
            <w:vAlign w:val="bottom"/>
          </w:tcPr>
          <w:p>
            <w:pPr>
              <w:widowControl/>
              <w:spacing w:line="240" w:lineRule="auto"/>
              <w:jc w:val="left"/>
              <w:rPr>
                <w:rFonts w:ascii="宋体" w:hAnsi="宋体" w:eastAsia="宋体" w:cs="宋体"/>
                <w:kern w:val="0"/>
                <w:sz w:val="24"/>
                <w:szCs w:val="24"/>
              </w:rPr>
            </w:pPr>
          </w:p>
        </w:tc>
        <w:tc>
          <w:tcPr>
            <w:tcW w:w="1200" w:type="dxa"/>
            <w:gridSpan w:val="2"/>
            <w:noWrap/>
            <w:vAlign w:val="bottom"/>
          </w:tcPr>
          <w:p>
            <w:pPr>
              <w:widowControl/>
              <w:spacing w:line="240" w:lineRule="auto"/>
              <w:jc w:val="left"/>
              <w:rPr>
                <w:rFonts w:ascii="宋体" w:hAnsi="宋体" w:eastAsia="宋体" w:cs="宋体"/>
                <w:kern w:val="0"/>
                <w:sz w:val="24"/>
                <w:szCs w:val="24"/>
              </w:rPr>
            </w:pPr>
          </w:p>
        </w:tc>
        <w:tc>
          <w:tcPr>
            <w:tcW w:w="1029" w:type="dxa"/>
            <w:gridSpan w:val="2"/>
          </w:tcPr>
          <w:p>
            <w:pPr>
              <w:widowControl/>
              <w:spacing w:line="240" w:lineRule="auto"/>
              <w:jc w:val="right"/>
              <w:rPr>
                <w:rFonts w:ascii="宋体" w:hAnsi="宋体" w:eastAsia="宋体" w:cs="宋体"/>
                <w:kern w:val="0"/>
                <w:sz w:val="22"/>
              </w:rPr>
            </w:pPr>
          </w:p>
        </w:tc>
        <w:tc>
          <w:tcPr>
            <w:tcW w:w="1275" w:type="dxa"/>
            <w:gridSpan w:val="2"/>
            <w:noWrap/>
            <w:vAlign w:val="bottom"/>
          </w:tcPr>
          <w:p>
            <w:pPr>
              <w:widowControl/>
              <w:spacing w:line="240" w:lineRule="auto"/>
              <w:jc w:val="right"/>
              <w:rPr>
                <w:rFonts w:ascii="宋体" w:hAnsi="宋体" w:eastAsia="宋体" w:cs="宋体"/>
                <w:kern w:val="0"/>
                <w:sz w:val="22"/>
              </w:rPr>
            </w:pPr>
            <w:r>
              <w:rPr>
                <w:rFonts w:hint="eastAsia" w:ascii="宋体" w:hAnsi="宋体" w:eastAsia="宋体" w:cs="宋体"/>
                <w:kern w:val="0"/>
                <w:sz w:val="22"/>
              </w:rPr>
              <w:t>单位：万元</w:t>
            </w:r>
          </w:p>
        </w:tc>
      </w:tr>
      <w:tr>
        <w:tblPrEx>
          <w:tblCellMar>
            <w:top w:w="0" w:type="dxa"/>
            <w:left w:w="108" w:type="dxa"/>
            <w:bottom w:w="0" w:type="dxa"/>
            <w:right w:w="108" w:type="dxa"/>
          </w:tblCellMar>
        </w:tblPrEx>
        <w:trPr>
          <w:gridAfter w:val="1"/>
          <w:wAfter w:w="986" w:type="dxa"/>
          <w:trHeight w:val="571" w:hRule="atLeast"/>
        </w:trPr>
        <w:tc>
          <w:tcPr>
            <w:tcW w:w="1149" w:type="dxa"/>
            <w:vMerge w:val="restart"/>
            <w:tcBorders>
              <w:top w:val="single" w:color="auto" w:sz="4" w:space="0"/>
              <w:left w:val="single" w:color="auto" w:sz="4" w:space="0"/>
              <w:bottom w:val="single" w:color="000000"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主管部门名称</w:t>
            </w:r>
          </w:p>
        </w:tc>
        <w:tc>
          <w:tcPr>
            <w:tcW w:w="1354" w:type="dxa"/>
            <w:vMerge w:val="restart"/>
            <w:tcBorders>
              <w:top w:val="single" w:color="auto" w:sz="4" w:space="0"/>
              <w:left w:val="single" w:color="auto" w:sz="4" w:space="0"/>
              <w:bottom w:val="single" w:color="000000"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专项资金立项项目名称</w:t>
            </w:r>
          </w:p>
        </w:tc>
        <w:tc>
          <w:tcPr>
            <w:tcW w:w="2615" w:type="dxa"/>
            <w:vMerge w:val="restart"/>
            <w:tcBorders>
              <w:top w:val="single" w:color="auto" w:sz="4" w:space="0"/>
              <w:left w:val="single" w:color="auto" w:sz="4" w:space="0"/>
              <w:bottom w:val="single" w:color="000000"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立项依据</w:t>
            </w:r>
          </w:p>
        </w:tc>
        <w:tc>
          <w:tcPr>
            <w:tcW w:w="709" w:type="dxa"/>
            <w:vMerge w:val="restart"/>
            <w:tcBorders>
              <w:top w:val="single" w:color="auto" w:sz="4" w:space="0"/>
              <w:left w:val="single" w:color="auto" w:sz="4" w:space="0"/>
              <w:bottom w:val="single" w:color="000000"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执行年限</w:t>
            </w:r>
          </w:p>
        </w:tc>
        <w:tc>
          <w:tcPr>
            <w:tcW w:w="1559" w:type="dxa"/>
            <w:vMerge w:val="restart"/>
            <w:tcBorders>
              <w:top w:val="single" w:color="auto" w:sz="4" w:space="0"/>
              <w:left w:val="single" w:color="auto" w:sz="4" w:space="0"/>
              <w:bottom w:val="single" w:color="000000"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实施规划</w:t>
            </w:r>
          </w:p>
        </w:tc>
        <w:tc>
          <w:tcPr>
            <w:tcW w:w="1843" w:type="dxa"/>
            <w:vMerge w:val="restart"/>
            <w:tcBorders>
              <w:top w:val="single" w:color="auto" w:sz="4" w:space="0"/>
              <w:left w:val="single" w:color="auto" w:sz="4" w:space="0"/>
              <w:bottom w:val="single" w:color="000000"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总体绩效目标</w:t>
            </w:r>
          </w:p>
        </w:tc>
        <w:tc>
          <w:tcPr>
            <w:tcW w:w="709" w:type="dxa"/>
            <w:vMerge w:val="restart"/>
            <w:tcBorders>
              <w:top w:val="single" w:color="auto" w:sz="4" w:space="0"/>
              <w:left w:val="single" w:color="auto" w:sz="4" w:space="0"/>
              <w:bottom w:val="single" w:color="000000"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支出级次</w:t>
            </w:r>
          </w:p>
        </w:tc>
        <w:tc>
          <w:tcPr>
            <w:tcW w:w="3118" w:type="dxa"/>
            <w:gridSpan w:val="7"/>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资金拼盘</w:t>
            </w:r>
          </w:p>
        </w:tc>
        <w:tc>
          <w:tcPr>
            <w:tcW w:w="942" w:type="dxa"/>
            <w:gridSpan w:val="2"/>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资金分配办法及支出标准</w:t>
            </w:r>
          </w:p>
        </w:tc>
      </w:tr>
      <w:tr>
        <w:tblPrEx>
          <w:tblCellMar>
            <w:top w:w="0" w:type="dxa"/>
            <w:left w:w="108" w:type="dxa"/>
            <w:bottom w:w="0" w:type="dxa"/>
            <w:right w:w="108" w:type="dxa"/>
          </w:tblCellMar>
        </w:tblPrEx>
        <w:trPr>
          <w:gridAfter w:val="1"/>
          <w:wAfter w:w="986" w:type="dxa"/>
          <w:trHeight w:val="735" w:hRule="atLeast"/>
        </w:trPr>
        <w:tc>
          <w:tcPr>
            <w:tcW w:w="1149"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240" w:lineRule="auto"/>
              <w:jc w:val="left"/>
              <w:rPr>
                <w:rFonts w:ascii="宋体" w:hAnsi="宋体" w:eastAsia="宋体" w:cs="宋体"/>
                <w:b/>
                <w:bCs/>
                <w:color w:val="000000"/>
                <w:kern w:val="0"/>
                <w:sz w:val="22"/>
              </w:rPr>
            </w:pPr>
          </w:p>
        </w:tc>
        <w:tc>
          <w:tcPr>
            <w:tcW w:w="1354"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240" w:lineRule="auto"/>
              <w:jc w:val="left"/>
              <w:rPr>
                <w:rFonts w:ascii="宋体" w:hAnsi="宋体" w:eastAsia="宋体" w:cs="宋体"/>
                <w:b/>
                <w:bCs/>
                <w:color w:val="000000"/>
                <w:kern w:val="0"/>
                <w:sz w:val="22"/>
              </w:rPr>
            </w:pPr>
          </w:p>
        </w:tc>
        <w:tc>
          <w:tcPr>
            <w:tcW w:w="2615"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240" w:lineRule="auto"/>
              <w:jc w:val="left"/>
              <w:rPr>
                <w:rFonts w:ascii="宋体" w:hAnsi="宋体" w:eastAsia="宋体" w:cs="宋体"/>
                <w:b/>
                <w:bCs/>
                <w:color w:val="000000"/>
                <w:kern w:val="0"/>
                <w:sz w:val="22"/>
              </w:rPr>
            </w:pPr>
          </w:p>
        </w:tc>
        <w:tc>
          <w:tcPr>
            <w:tcW w:w="709"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240" w:lineRule="auto"/>
              <w:jc w:val="left"/>
              <w:rPr>
                <w:rFonts w:ascii="宋体" w:hAnsi="宋体" w:eastAsia="宋体" w:cs="宋体"/>
                <w:b/>
                <w:bCs/>
                <w:color w:val="000000"/>
                <w:kern w:val="0"/>
                <w:sz w:val="22"/>
              </w:rPr>
            </w:pPr>
          </w:p>
        </w:tc>
        <w:tc>
          <w:tcPr>
            <w:tcW w:w="1559"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240" w:lineRule="auto"/>
              <w:jc w:val="left"/>
              <w:rPr>
                <w:rFonts w:ascii="宋体" w:hAnsi="宋体" w:eastAsia="宋体" w:cs="宋体"/>
                <w:b/>
                <w:bCs/>
                <w:color w:val="000000"/>
                <w:kern w:val="0"/>
                <w:sz w:val="22"/>
              </w:rPr>
            </w:pPr>
          </w:p>
        </w:tc>
        <w:tc>
          <w:tcPr>
            <w:tcW w:w="1843"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240" w:lineRule="auto"/>
              <w:jc w:val="left"/>
              <w:rPr>
                <w:rFonts w:ascii="宋体" w:hAnsi="宋体" w:eastAsia="宋体" w:cs="宋体"/>
                <w:b/>
                <w:bCs/>
                <w:color w:val="000000"/>
                <w:kern w:val="0"/>
                <w:sz w:val="22"/>
              </w:rPr>
            </w:pPr>
          </w:p>
        </w:tc>
        <w:tc>
          <w:tcPr>
            <w:tcW w:w="709" w:type="dxa"/>
            <w:vMerge w:val="continue"/>
            <w:tcBorders>
              <w:top w:val="single" w:color="auto" w:sz="4" w:space="0"/>
              <w:left w:val="single" w:color="auto" w:sz="4" w:space="0"/>
              <w:bottom w:val="single" w:color="000000" w:sz="4" w:space="0"/>
              <w:right w:val="single" w:color="auto" w:sz="4" w:space="0"/>
            </w:tcBorders>
            <w:vAlign w:val="center"/>
          </w:tcPr>
          <w:p>
            <w:pPr>
              <w:widowControl/>
              <w:spacing w:line="240" w:lineRule="auto"/>
              <w:jc w:val="left"/>
              <w:rPr>
                <w:rFonts w:ascii="宋体" w:hAnsi="宋体" w:eastAsia="宋体" w:cs="宋体"/>
                <w:b/>
                <w:bCs/>
                <w:color w:val="000000"/>
                <w:kern w:val="0"/>
                <w:sz w:val="22"/>
              </w:rPr>
            </w:pPr>
          </w:p>
        </w:tc>
        <w:tc>
          <w:tcPr>
            <w:tcW w:w="627" w:type="dxa"/>
            <w:gridSpan w:val="2"/>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小计</w:t>
            </w:r>
          </w:p>
        </w:tc>
        <w:tc>
          <w:tcPr>
            <w:tcW w:w="709" w:type="dxa"/>
            <w:tcBorders>
              <w:top w:val="nil"/>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一般公共预算</w:t>
            </w:r>
          </w:p>
        </w:tc>
        <w:tc>
          <w:tcPr>
            <w:tcW w:w="880" w:type="dxa"/>
            <w:gridSpan w:val="2"/>
            <w:tcBorders>
              <w:top w:val="single" w:color="auto" w:sz="4" w:space="0"/>
              <w:left w:val="nil"/>
              <w:bottom w:val="single" w:color="auto" w:sz="4" w:space="0"/>
              <w:right w:val="single" w:color="auto" w:sz="4" w:space="0"/>
            </w:tcBorders>
            <w:vAlign w:val="center"/>
          </w:tcPr>
          <w:p>
            <w:pPr>
              <w:widowControl/>
              <w:spacing w:line="240" w:lineRule="auto"/>
              <w:jc w:val="center"/>
              <w:rPr>
                <w:rFonts w:ascii="宋体" w:hAnsi="宋体" w:eastAsia="宋体" w:cs="宋体"/>
                <w:b/>
                <w:bCs/>
                <w:color w:val="000000"/>
                <w:kern w:val="0"/>
                <w:sz w:val="22"/>
              </w:rPr>
            </w:pPr>
            <w:r>
              <w:rPr>
                <w:rFonts w:hint="eastAsia" w:ascii="宋体" w:hAnsi="宋体" w:eastAsia="宋体" w:cs="宋体"/>
                <w:b/>
                <w:bCs/>
                <w:color w:val="000000"/>
                <w:kern w:val="0"/>
                <w:sz w:val="22"/>
              </w:rPr>
              <w:t>政府性基金预算</w:t>
            </w:r>
          </w:p>
        </w:tc>
        <w:tc>
          <w:tcPr>
            <w:tcW w:w="902" w:type="dxa"/>
            <w:gridSpan w:val="2"/>
            <w:tcBorders>
              <w:top w:val="single" w:color="auto" w:sz="4" w:space="0"/>
              <w:left w:val="single" w:color="auto" w:sz="4" w:space="0"/>
              <w:bottom w:val="single" w:color="auto" w:sz="4" w:space="0"/>
              <w:right w:val="single" w:color="auto" w:sz="4" w:space="0"/>
            </w:tcBorders>
          </w:tcPr>
          <w:p>
            <w:pPr>
              <w:widowControl/>
              <w:spacing w:line="240" w:lineRule="auto"/>
              <w:jc w:val="left"/>
              <w:rPr>
                <w:rFonts w:ascii="宋体" w:hAnsi="宋体" w:eastAsia="宋体" w:cs="宋体"/>
                <w:b/>
                <w:bCs/>
                <w:color w:val="000000"/>
                <w:kern w:val="0"/>
                <w:sz w:val="22"/>
              </w:rPr>
            </w:pPr>
            <w:r>
              <w:rPr>
                <w:rFonts w:hint="eastAsia" w:ascii="宋体" w:hAnsi="宋体" w:eastAsia="宋体" w:cs="宋体"/>
                <w:b/>
                <w:bCs/>
                <w:color w:val="000000"/>
                <w:kern w:val="0"/>
                <w:sz w:val="22"/>
              </w:rPr>
              <w:t>国有资本经营预算</w:t>
            </w:r>
          </w:p>
        </w:tc>
        <w:tc>
          <w:tcPr>
            <w:tcW w:w="942"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宋体" w:hAnsi="宋体" w:eastAsia="宋体" w:cs="宋体"/>
                <w:b/>
                <w:bCs/>
                <w:color w:val="000000"/>
                <w:kern w:val="0"/>
                <w:sz w:val="22"/>
              </w:rPr>
            </w:pPr>
          </w:p>
        </w:tc>
      </w:tr>
      <w:tr>
        <w:tblPrEx>
          <w:tblCellMar>
            <w:top w:w="0" w:type="dxa"/>
            <w:left w:w="108" w:type="dxa"/>
            <w:bottom w:w="0" w:type="dxa"/>
            <w:right w:w="108" w:type="dxa"/>
          </w:tblCellMar>
        </w:tblPrEx>
        <w:trPr>
          <w:gridAfter w:val="1"/>
          <w:wAfter w:w="986" w:type="dxa"/>
          <w:trHeight w:val="402" w:hRule="atLeast"/>
        </w:trPr>
        <w:tc>
          <w:tcPr>
            <w:tcW w:w="1149" w:type="dxa"/>
            <w:tcBorders>
              <w:top w:val="nil"/>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c>
          <w:tcPr>
            <w:tcW w:w="1354"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c>
          <w:tcPr>
            <w:tcW w:w="2615"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c>
          <w:tcPr>
            <w:tcW w:w="70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c>
          <w:tcPr>
            <w:tcW w:w="155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c>
          <w:tcPr>
            <w:tcW w:w="1843"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c>
          <w:tcPr>
            <w:tcW w:w="70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c>
          <w:tcPr>
            <w:tcW w:w="627" w:type="dxa"/>
            <w:gridSpan w:val="2"/>
            <w:tcBorders>
              <w:top w:val="nil"/>
              <w:left w:val="nil"/>
              <w:bottom w:val="single" w:color="auto" w:sz="4" w:space="0"/>
              <w:right w:val="single" w:color="auto" w:sz="4" w:space="0"/>
            </w:tcBorders>
            <w:noWrap/>
            <w:vAlign w:val="bottom"/>
          </w:tcPr>
          <w:p>
            <w:pPr>
              <w:jc w:val="center"/>
              <w:rPr>
                <w:sz w:val="18"/>
                <w:szCs w:val="18"/>
              </w:rPr>
            </w:pPr>
            <w:r>
              <w:rPr>
                <w:rFonts w:hint="eastAsia"/>
                <w:sz w:val="18"/>
                <w:szCs w:val="18"/>
              </w:rPr>
              <w:t>66.91</w:t>
            </w:r>
          </w:p>
        </w:tc>
        <w:tc>
          <w:tcPr>
            <w:tcW w:w="709" w:type="dxa"/>
            <w:tcBorders>
              <w:top w:val="nil"/>
              <w:left w:val="nil"/>
              <w:bottom w:val="single" w:color="auto" w:sz="4" w:space="0"/>
              <w:right w:val="single" w:color="auto" w:sz="4" w:space="0"/>
            </w:tcBorders>
            <w:noWrap/>
            <w:vAlign w:val="bottom"/>
          </w:tcPr>
          <w:p>
            <w:pPr>
              <w:rPr>
                <w:sz w:val="18"/>
                <w:szCs w:val="18"/>
              </w:rPr>
            </w:pPr>
            <w:r>
              <w:rPr>
                <w:rFonts w:hint="eastAsia"/>
                <w:sz w:val="18"/>
                <w:szCs w:val="18"/>
              </w:rPr>
              <w:t>66.91　</w:t>
            </w:r>
          </w:p>
        </w:tc>
        <w:tc>
          <w:tcPr>
            <w:tcW w:w="880" w:type="dxa"/>
            <w:gridSpan w:val="2"/>
            <w:tcBorders>
              <w:top w:val="single" w:color="auto" w:sz="4" w:space="0"/>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c>
          <w:tcPr>
            <w:tcW w:w="902" w:type="dxa"/>
            <w:gridSpan w:val="2"/>
            <w:tcBorders>
              <w:top w:val="single" w:color="auto" w:sz="4" w:space="0"/>
              <w:left w:val="single" w:color="auto" w:sz="4" w:space="0"/>
              <w:bottom w:val="single" w:color="auto" w:sz="4" w:space="0"/>
              <w:right w:val="single" w:color="auto" w:sz="4" w:space="0"/>
            </w:tcBorders>
          </w:tcPr>
          <w:p>
            <w:pPr>
              <w:widowControl/>
              <w:spacing w:line="240" w:lineRule="auto"/>
              <w:jc w:val="left"/>
              <w:rPr>
                <w:rFonts w:ascii="宋体" w:hAnsi="宋体" w:eastAsia="宋体" w:cs="宋体"/>
                <w:kern w:val="0"/>
                <w:sz w:val="24"/>
                <w:szCs w:val="24"/>
              </w:rPr>
            </w:pPr>
          </w:p>
        </w:tc>
        <w:tc>
          <w:tcPr>
            <w:tcW w:w="942" w:type="dxa"/>
            <w:gridSpan w:val="2"/>
            <w:tcBorders>
              <w:top w:val="single" w:color="auto" w:sz="4" w:space="0"/>
              <w:left w:val="single" w:color="auto" w:sz="4" w:space="0"/>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r>
      <w:tr>
        <w:tblPrEx>
          <w:tblCellMar>
            <w:top w:w="0" w:type="dxa"/>
            <w:left w:w="108" w:type="dxa"/>
            <w:bottom w:w="0" w:type="dxa"/>
            <w:right w:w="108" w:type="dxa"/>
          </w:tblCellMar>
        </w:tblPrEx>
        <w:trPr>
          <w:gridAfter w:val="1"/>
          <w:wAfter w:w="986" w:type="dxa"/>
          <w:trHeight w:val="402" w:hRule="atLeast"/>
        </w:trPr>
        <w:tc>
          <w:tcPr>
            <w:tcW w:w="1149" w:type="dxa"/>
            <w:tcBorders>
              <w:top w:val="nil"/>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平潭综合实验区应急事务中心</w:t>
            </w:r>
          </w:p>
        </w:tc>
        <w:tc>
          <w:tcPr>
            <w:tcW w:w="1354" w:type="dxa"/>
            <w:tcBorders>
              <w:top w:val="nil"/>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防汛物资储备经费</w:t>
            </w:r>
          </w:p>
        </w:tc>
        <w:tc>
          <w:tcPr>
            <w:tcW w:w="2615" w:type="dxa"/>
            <w:tcBorders>
              <w:top w:val="nil"/>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关于做好2021年防汛备汛等工作的通知（闽汛防指﹝2021﹞1号）</w:t>
            </w:r>
          </w:p>
        </w:tc>
        <w:tc>
          <w:tcPr>
            <w:tcW w:w="709" w:type="dxa"/>
            <w:tcBorders>
              <w:top w:val="nil"/>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1</w:t>
            </w:r>
          </w:p>
        </w:tc>
        <w:tc>
          <w:tcPr>
            <w:tcW w:w="1559" w:type="dxa"/>
            <w:tcBorders>
              <w:top w:val="nil"/>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防汛物资储备经费</w:t>
            </w:r>
          </w:p>
        </w:tc>
        <w:tc>
          <w:tcPr>
            <w:tcW w:w="1843" w:type="dxa"/>
            <w:tcBorders>
              <w:top w:val="nil"/>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根据实际情况采购防汛物资，确保物资数量种类齐全。</w:t>
            </w:r>
          </w:p>
        </w:tc>
        <w:tc>
          <w:tcPr>
            <w:tcW w:w="709" w:type="dxa"/>
            <w:tcBorders>
              <w:top w:val="nil"/>
              <w:left w:val="nil"/>
              <w:bottom w:val="single" w:color="auto" w:sz="4" w:space="0"/>
              <w:right w:val="single" w:color="auto" w:sz="4" w:space="0"/>
            </w:tcBorders>
            <w:noWrap/>
            <w:vAlign w:val="bottom"/>
          </w:tcPr>
          <w:p>
            <w:pPr>
              <w:widowControl/>
              <w:spacing w:line="240" w:lineRule="auto"/>
              <w:jc w:val="left"/>
              <w:rPr>
                <w:rFonts w:ascii="宋体" w:hAnsi="宋体" w:eastAsia="宋体" w:cs="宋体"/>
                <w:kern w:val="0"/>
                <w:sz w:val="24"/>
                <w:szCs w:val="24"/>
              </w:rPr>
            </w:pPr>
            <w:r>
              <w:rPr>
                <w:rFonts w:hint="eastAsia" w:ascii="宋体" w:hAnsi="宋体" w:eastAsia="宋体" w:cs="宋体"/>
                <w:kern w:val="0"/>
                <w:sz w:val="24"/>
                <w:szCs w:val="24"/>
              </w:rPr>
              <w:t>　</w:t>
            </w:r>
          </w:p>
        </w:tc>
        <w:tc>
          <w:tcPr>
            <w:tcW w:w="627" w:type="dxa"/>
            <w:gridSpan w:val="2"/>
            <w:tcBorders>
              <w:top w:val="nil"/>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15</w:t>
            </w:r>
          </w:p>
        </w:tc>
        <w:tc>
          <w:tcPr>
            <w:tcW w:w="709" w:type="dxa"/>
            <w:tcBorders>
              <w:top w:val="nil"/>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15</w:t>
            </w:r>
          </w:p>
        </w:tc>
        <w:tc>
          <w:tcPr>
            <w:tcW w:w="880" w:type="dxa"/>
            <w:gridSpan w:val="2"/>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p>
        </w:tc>
        <w:tc>
          <w:tcPr>
            <w:tcW w:w="902"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sz w:val="18"/>
                <w:szCs w:val="18"/>
              </w:rPr>
            </w:pPr>
          </w:p>
        </w:tc>
        <w:tc>
          <w:tcPr>
            <w:tcW w:w="942" w:type="dxa"/>
            <w:gridSpan w:val="2"/>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项目法</w:t>
            </w:r>
          </w:p>
        </w:tc>
      </w:tr>
      <w:tr>
        <w:tblPrEx>
          <w:tblCellMar>
            <w:top w:w="0" w:type="dxa"/>
            <w:left w:w="108" w:type="dxa"/>
            <w:bottom w:w="0" w:type="dxa"/>
            <w:right w:w="108" w:type="dxa"/>
          </w:tblCellMar>
        </w:tblPrEx>
        <w:trPr>
          <w:gridAfter w:val="1"/>
          <w:wAfter w:w="986" w:type="dxa"/>
          <w:trHeight w:val="402" w:hRule="atLeast"/>
        </w:trPr>
        <w:tc>
          <w:tcPr>
            <w:tcW w:w="1149" w:type="dxa"/>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平潭综合实验区应急事务中心</w:t>
            </w:r>
          </w:p>
        </w:tc>
        <w:tc>
          <w:tcPr>
            <w:tcW w:w="1354"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防汛特种车辆运行经费</w:t>
            </w:r>
          </w:p>
        </w:tc>
        <w:tc>
          <w:tcPr>
            <w:tcW w:w="2615"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关于购置防汛应急抢险排水车的请示（岚综实管防﹝2015﹞19号）、关于区防汛抗旱指挥部要求购置防汛抢险排水车的反馈意见</w:t>
            </w:r>
          </w:p>
        </w:tc>
        <w:tc>
          <w:tcPr>
            <w:tcW w:w="709"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1</w:t>
            </w:r>
          </w:p>
        </w:tc>
        <w:tc>
          <w:tcPr>
            <w:tcW w:w="1559"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防汛特种车辆运行经费</w:t>
            </w:r>
          </w:p>
        </w:tc>
        <w:tc>
          <w:tcPr>
            <w:tcW w:w="1843"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确保防汛特种车辆正常使用，在防汛工作中发挥应有的作用。</w:t>
            </w:r>
          </w:p>
        </w:tc>
        <w:tc>
          <w:tcPr>
            <w:tcW w:w="709"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　</w:t>
            </w:r>
          </w:p>
        </w:tc>
        <w:tc>
          <w:tcPr>
            <w:tcW w:w="627" w:type="dxa"/>
            <w:gridSpan w:val="2"/>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15</w:t>
            </w:r>
          </w:p>
        </w:tc>
        <w:tc>
          <w:tcPr>
            <w:tcW w:w="709"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15</w:t>
            </w:r>
          </w:p>
        </w:tc>
        <w:tc>
          <w:tcPr>
            <w:tcW w:w="880" w:type="dxa"/>
            <w:gridSpan w:val="2"/>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p>
        </w:tc>
        <w:tc>
          <w:tcPr>
            <w:tcW w:w="902"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sz w:val="18"/>
                <w:szCs w:val="18"/>
              </w:rPr>
            </w:pPr>
          </w:p>
        </w:tc>
        <w:tc>
          <w:tcPr>
            <w:tcW w:w="942" w:type="dxa"/>
            <w:gridSpan w:val="2"/>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项目法</w:t>
            </w:r>
          </w:p>
        </w:tc>
      </w:tr>
      <w:tr>
        <w:tblPrEx>
          <w:tblCellMar>
            <w:top w:w="0" w:type="dxa"/>
            <w:left w:w="108" w:type="dxa"/>
            <w:bottom w:w="0" w:type="dxa"/>
            <w:right w:w="108" w:type="dxa"/>
          </w:tblCellMar>
        </w:tblPrEx>
        <w:trPr>
          <w:gridAfter w:val="1"/>
          <w:wAfter w:w="986" w:type="dxa"/>
          <w:trHeight w:val="402" w:hRule="atLeast"/>
        </w:trPr>
        <w:tc>
          <w:tcPr>
            <w:tcW w:w="1149" w:type="dxa"/>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平潭综合实验区应急事务中心</w:t>
            </w:r>
          </w:p>
        </w:tc>
        <w:tc>
          <w:tcPr>
            <w:tcW w:w="1354"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防汛专项业务费</w:t>
            </w:r>
          </w:p>
        </w:tc>
        <w:tc>
          <w:tcPr>
            <w:tcW w:w="2615"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关于做好2021年防汛备汛等工作的通知（闽汛防指﹝2021﹞1号）</w:t>
            </w:r>
          </w:p>
        </w:tc>
        <w:tc>
          <w:tcPr>
            <w:tcW w:w="709"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1</w:t>
            </w:r>
          </w:p>
        </w:tc>
        <w:tc>
          <w:tcPr>
            <w:tcW w:w="1559"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防汛专项业务费</w:t>
            </w:r>
          </w:p>
        </w:tc>
        <w:tc>
          <w:tcPr>
            <w:tcW w:w="1843"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保证站点网络通信畅通、防汛演练、防汛值班等，确保安全度汛。</w:t>
            </w:r>
          </w:p>
        </w:tc>
        <w:tc>
          <w:tcPr>
            <w:tcW w:w="709"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　</w:t>
            </w:r>
          </w:p>
        </w:tc>
        <w:tc>
          <w:tcPr>
            <w:tcW w:w="627" w:type="dxa"/>
            <w:gridSpan w:val="2"/>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28</w:t>
            </w:r>
          </w:p>
        </w:tc>
        <w:tc>
          <w:tcPr>
            <w:tcW w:w="709"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28</w:t>
            </w:r>
          </w:p>
        </w:tc>
        <w:tc>
          <w:tcPr>
            <w:tcW w:w="880" w:type="dxa"/>
            <w:gridSpan w:val="2"/>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p>
        </w:tc>
        <w:tc>
          <w:tcPr>
            <w:tcW w:w="902"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sz w:val="18"/>
                <w:szCs w:val="18"/>
              </w:rPr>
            </w:pPr>
          </w:p>
        </w:tc>
        <w:tc>
          <w:tcPr>
            <w:tcW w:w="942" w:type="dxa"/>
            <w:gridSpan w:val="2"/>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项目法</w:t>
            </w:r>
          </w:p>
        </w:tc>
      </w:tr>
      <w:tr>
        <w:tblPrEx>
          <w:tblCellMar>
            <w:top w:w="0" w:type="dxa"/>
            <w:left w:w="108" w:type="dxa"/>
            <w:bottom w:w="0" w:type="dxa"/>
            <w:right w:w="108" w:type="dxa"/>
          </w:tblCellMar>
        </w:tblPrEx>
        <w:trPr>
          <w:gridAfter w:val="1"/>
          <w:wAfter w:w="986" w:type="dxa"/>
          <w:trHeight w:val="402" w:hRule="atLeast"/>
        </w:trPr>
        <w:tc>
          <w:tcPr>
            <w:tcW w:w="1149" w:type="dxa"/>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平潭综合实验区应急事务中心</w:t>
            </w:r>
          </w:p>
        </w:tc>
        <w:tc>
          <w:tcPr>
            <w:tcW w:w="1354"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专项业务费（办公费）</w:t>
            </w:r>
          </w:p>
        </w:tc>
        <w:tc>
          <w:tcPr>
            <w:tcW w:w="2615"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关于印发2021年工作要点的通知（岚安委﹝2021﹞2号）、关于开展2021年安全生产月活动的通知（岚安委办﹝2021﹞19号）</w:t>
            </w:r>
          </w:p>
        </w:tc>
        <w:tc>
          <w:tcPr>
            <w:tcW w:w="709"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1</w:t>
            </w:r>
          </w:p>
        </w:tc>
        <w:tc>
          <w:tcPr>
            <w:tcW w:w="1559"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专项业务费（办公费）</w:t>
            </w:r>
          </w:p>
        </w:tc>
        <w:tc>
          <w:tcPr>
            <w:tcW w:w="1843"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确保“安全生产月”主题宣传活动顺利举行，提升群众安全意识，营造良好的安全生产环境。</w:t>
            </w:r>
          </w:p>
        </w:tc>
        <w:tc>
          <w:tcPr>
            <w:tcW w:w="709"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　</w:t>
            </w:r>
          </w:p>
        </w:tc>
        <w:tc>
          <w:tcPr>
            <w:tcW w:w="627" w:type="dxa"/>
            <w:gridSpan w:val="2"/>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5</w:t>
            </w:r>
          </w:p>
        </w:tc>
        <w:tc>
          <w:tcPr>
            <w:tcW w:w="709"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5</w:t>
            </w:r>
          </w:p>
        </w:tc>
        <w:tc>
          <w:tcPr>
            <w:tcW w:w="880" w:type="dxa"/>
            <w:gridSpan w:val="2"/>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p>
        </w:tc>
        <w:tc>
          <w:tcPr>
            <w:tcW w:w="902"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sz w:val="18"/>
                <w:szCs w:val="18"/>
              </w:rPr>
            </w:pPr>
          </w:p>
        </w:tc>
        <w:tc>
          <w:tcPr>
            <w:tcW w:w="942" w:type="dxa"/>
            <w:gridSpan w:val="2"/>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项目法</w:t>
            </w:r>
          </w:p>
        </w:tc>
      </w:tr>
      <w:tr>
        <w:tblPrEx>
          <w:tblCellMar>
            <w:top w:w="0" w:type="dxa"/>
            <w:left w:w="108" w:type="dxa"/>
            <w:bottom w:w="0" w:type="dxa"/>
            <w:right w:w="108" w:type="dxa"/>
          </w:tblCellMar>
        </w:tblPrEx>
        <w:trPr>
          <w:gridAfter w:val="1"/>
          <w:wAfter w:w="986" w:type="dxa"/>
          <w:trHeight w:val="402" w:hRule="atLeast"/>
        </w:trPr>
        <w:tc>
          <w:tcPr>
            <w:tcW w:w="1149" w:type="dxa"/>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平潭综合实验区应急事务中心</w:t>
            </w:r>
          </w:p>
        </w:tc>
        <w:tc>
          <w:tcPr>
            <w:tcW w:w="1354"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专项业务费（办公设备购置）</w:t>
            </w:r>
          </w:p>
        </w:tc>
        <w:tc>
          <w:tcPr>
            <w:tcW w:w="2615"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无</w:t>
            </w:r>
          </w:p>
        </w:tc>
        <w:tc>
          <w:tcPr>
            <w:tcW w:w="709"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1</w:t>
            </w:r>
          </w:p>
        </w:tc>
        <w:tc>
          <w:tcPr>
            <w:tcW w:w="1559"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专项业务费（办公设备购置）</w:t>
            </w:r>
          </w:p>
        </w:tc>
        <w:tc>
          <w:tcPr>
            <w:tcW w:w="1843"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根据实际情况采购办公设备，提高办公效率。</w:t>
            </w:r>
          </w:p>
        </w:tc>
        <w:tc>
          <w:tcPr>
            <w:tcW w:w="709" w:type="dxa"/>
            <w:tcBorders>
              <w:top w:val="single" w:color="auto" w:sz="4" w:space="0"/>
              <w:left w:val="nil"/>
              <w:bottom w:val="single" w:color="auto" w:sz="4" w:space="0"/>
              <w:right w:val="single" w:color="auto" w:sz="4" w:space="0"/>
            </w:tcBorders>
            <w:noWrap/>
            <w:vAlign w:val="center"/>
          </w:tcPr>
          <w:p>
            <w:pPr>
              <w:rPr>
                <w:rFonts w:ascii="宋体" w:hAnsi="宋体" w:eastAsia="宋体" w:cs="宋体"/>
                <w:sz w:val="18"/>
                <w:szCs w:val="18"/>
              </w:rPr>
            </w:pPr>
            <w:r>
              <w:rPr>
                <w:rFonts w:hint="eastAsia"/>
                <w:sz w:val="18"/>
                <w:szCs w:val="18"/>
              </w:rPr>
              <w:t>　</w:t>
            </w:r>
          </w:p>
        </w:tc>
        <w:tc>
          <w:tcPr>
            <w:tcW w:w="627" w:type="dxa"/>
            <w:gridSpan w:val="2"/>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3.91</w:t>
            </w:r>
          </w:p>
        </w:tc>
        <w:tc>
          <w:tcPr>
            <w:tcW w:w="709" w:type="dxa"/>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3.91</w:t>
            </w:r>
          </w:p>
        </w:tc>
        <w:tc>
          <w:tcPr>
            <w:tcW w:w="880" w:type="dxa"/>
            <w:gridSpan w:val="2"/>
            <w:tcBorders>
              <w:top w:val="single" w:color="auto" w:sz="4" w:space="0"/>
              <w:left w:val="nil"/>
              <w:bottom w:val="single" w:color="auto" w:sz="4" w:space="0"/>
              <w:right w:val="single" w:color="auto" w:sz="4" w:space="0"/>
            </w:tcBorders>
            <w:noWrap/>
            <w:vAlign w:val="center"/>
          </w:tcPr>
          <w:p>
            <w:pPr>
              <w:jc w:val="center"/>
              <w:rPr>
                <w:rFonts w:ascii="宋体" w:hAnsi="宋体" w:eastAsia="宋体" w:cs="宋体"/>
                <w:sz w:val="18"/>
                <w:szCs w:val="18"/>
              </w:rPr>
            </w:pPr>
          </w:p>
        </w:tc>
        <w:tc>
          <w:tcPr>
            <w:tcW w:w="902"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sz w:val="18"/>
                <w:szCs w:val="18"/>
              </w:rPr>
            </w:pPr>
          </w:p>
        </w:tc>
        <w:tc>
          <w:tcPr>
            <w:tcW w:w="942" w:type="dxa"/>
            <w:gridSpan w:val="2"/>
            <w:tcBorders>
              <w:top w:val="single" w:color="auto" w:sz="4" w:space="0"/>
              <w:left w:val="single" w:color="auto" w:sz="4" w:space="0"/>
              <w:bottom w:val="single" w:color="auto" w:sz="4" w:space="0"/>
              <w:right w:val="single" w:color="auto" w:sz="4" w:space="0"/>
            </w:tcBorders>
            <w:noWrap/>
            <w:vAlign w:val="center"/>
          </w:tcPr>
          <w:p>
            <w:pPr>
              <w:jc w:val="center"/>
              <w:rPr>
                <w:rFonts w:ascii="宋体" w:hAnsi="宋体" w:eastAsia="宋体" w:cs="宋体"/>
                <w:sz w:val="18"/>
                <w:szCs w:val="18"/>
              </w:rPr>
            </w:pPr>
            <w:r>
              <w:rPr>
                <w:rFonts w:hint="eastAsia"/>
                <w:sz w:val="18"/>
                <w:szCs w:val="18"/>
              </w:rPr>
              <w:t>项目法</w:t>
            </w:r>
          </w:p>
        </w:tc>
      </w:tr>
    </w:tbl>
    <w:p>
      <w:pPr>
        <w:widowControl/>
        <w:spacing w:line="240" w:lineRule="auto"/>
        <w:jc w:val="left"/>
        <w:rPr>
          <w:rFonts w:ascii="楷体" w:hAnsi="楷体" w:eastAsia="楷体"/>
          <w:sz w:val="36"/>
          <w:szCs w:val="36"/>
        </w:rPr>
        <w:sectPr>
          <w:pgSz w:w="16838" w:h="11906" w:orient="landscape"/>
          <w:pgMar w:top="1800" w:right="1440" w:bottom="1800" w:left="1440" w:header="851" w:footer="992" w:gutter="0"/>
          <w:cols w:space="720" w:num="1"/>
          <w:docGrid w:type="lines" w:linePitch="312" w:charSpace="0"/>
        </w:sect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jc w:val="center"/>
        <w:rPr>
          <w:rFonts w:ascii="黑体" w:hAnsi="黑体" w:eastAsia="黑体"/>
          <w:sz w:val="36"/>
          <w:szCs w:val="36"/>
          <w:lang w:eastAsia="zh-CN"/>
        </w:rPr>
      </w:pPr>
    </w:p>
    <w:p>
      <w:pPr>
        <w:pStyle w:val="2"/>
        <w:rPr>
          <w:rFonts w:ascii="黑体" w:hAnsi="黑体" w:eastAsia="黑体"/>
          <w:sz w:val="56"/>
          <w:szCs w:val="36"/>
          <w:lang w:eastAsia="zh-CN"/>
        </w:rPr>
      </w:pPr>
      <w:r>
        <w:rPr>
          <w:rFonts w:hint="eastAsia" w:ascii="黑体" w:hAnsi="黑体" w:eastAsia="黑体"/>
          <w:sz w:val="56"/>
          <w:szCs w:val="36"/>
          <w:lang w:eastAsia="zh-CN"/>
        </w:rPr>
        <w:t>第三部分</w:t>
      </w:r>
    </w:p>
    <w:p>
      <w:pPr>
        <w:pStyle w:val="2"/>
        <w:jc w:val="center"/>
        <w:rPr>
          <w:rFonts w:ascii="黑体" w:hAnsi="黑体" w:eastAsia="黑体"/>
          <w:sz w:val="56"/>
          <w:szCs w:val="36"/>
          <w:lang w:eastAsia="zh-CN"/>
        </w:rPr>
      </w:pPr>
      <w:r>
        <w:rPr>
          <w:rFonts w:hint="eastAsia" w:ascii="黑体" w:hAnsi="黑体" w:eastAsia="黑体"/>
          <w:sz w:val="56"/>
          <w:szCs w:val="36"/>
          <w:lang w:eastAsia="zh-CN"/>
        </w:rPr>
        <w:t>2022年度部门预算情况说明</w:t>
      </w:r>
    </w:p>
    <w:p>
      <w:pPr>
        <w:ind w:firstLine="640" w:firstLineChars="200"/>
        <w:rPr>
          <w:rFonts w:ascii="仿宋" w:hAnsi="仿宋" w:eastAsia="仿宋" w:cs="仿宋_GB2312"/>
          <w:sz w:val="32"/>
          <w:szCs w:val="32"/>
        </w:rPr>
      </w:pPr>
    </w:p>
    <w:p>
      <w:pPr>
        <w:widowControl/>
        <w:spacing w:line="240" w:lineRule="auto"/>
        <w:jc w:val="left"/>
        <w:rPr>
          <w:rFonts w:ascii="仿宋" w:hAnsi="仿宋" w:eastAsia="仿宋"/>
          <w:b/>
          <w:sz w:val="32"/>
          <w:szCs w:val="32"/>
        </w:rPr>
        <w:sectPr>
          <w:pgSz w:w="11906" w:h="16838"/>
          <w:pgMar w:top="1440" w:right="1800" w:bottom="1440" w:left="1800" w:header="851" w:footer="992" w:gutter="0"/>
          <w:cols w:space="720" w:num="1"/>
          <w:docGrid w:type="lines" w:linePitch="312" w:charSpace="0"/>
        </w:sectPr>
      </w:pP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一、预算收支总体情况</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按照综合预算的原则，部门所有收入和支出均纳入部门预算管理。2022年，</w:t>
      </w:r>
      <w:r>
        <w:rPr>
          <w:rFonts w:hint="eastAsia" w:ascii="仿宋" w:hAnsi="仿宋" w:eastAsia="仿宋" w:cs="仿宋_GB2312"/>
          <w:sz w:val="32"/>
          <w:szCs w:val="32"/>
        </w:rPr>
        <w:t>平潭综合实验区应急事务中心</w:t>
      </w:r>
      <w:r>
        <w:rPr>
          <w:rFonts w:hint="eastAsia" w:ascii="仿宋" w:hAnsi="仿宋" w:eastAsia="仿宋"/>
          <w:sz w:val="32"/>
          <w:szCs w:val="32"/>
        </w:rPr>
        <w:t>收入预算为</w:t>
      </w:r>
      <w:r>
        <w:rPr>
          <w:rFonts w:hint="eastAsia" w:ascii="仿宋" w:hAnsi="仿宋" w:eastAsia="仿宋" w:cs="仿宋_GB2312"/>
          <w:sz w:val="32"/>
          <w:szCs w:val="32"/>
        </w:rPr>
        <w:t>526.45</w:t>
      </w:r>
      <w:r>
        <w:rPr>
          <w:rFonts w:hint="eastAsia" w:ascii="仿宋" w:hAnsi="仿宋" w:eastAsia="仿宋"/>
          <w:sz w:val="32"/>
          <w:szCs w:val="32"/>
        </w:rPr>
        <w:t>万元，比上年减少</w:t>
      </w:r>
      <w:r>
        <w:rPr>
          <w:rFonts w:hint="eastAsia" w:ascii="仿宋" w:hAnsi="仿宋" w:eastAsia="仿宋" w:cs="仿宋_GB2312"/>
          <w:sz w:val="32"/>
          <w:szCs w:val="32"/>
        </w:rPr>
        <w:t>81.32</w:t>
      </w:r>
      <w:r>
        <w:rPr>
          <w:rFonts w:hint="eastAsia" w:ascii="仿宋" w:hAnsi="仿宋" w:eastAsia="仿宋"/>
          <w:sz w:val="32"/>
          <w:szCs w:val="32"/>
        </w:rPr>
        <w:t>万元，主要原因是</w:t>
      </w:r>
      <w:r>
        <w:rPr>
          <w:rFonts w:hint="eastAsia" w:ascii="仿宋" w:hAnsi="仿宋" w:eastAsia="仿宋" w:cs="仿宋_GB2312"/>
          <w:sz w:val="32"/>
          <w:szCs w:val="32"/>
        </w:rPr>
        <w:t>人员减少。</w:t>
      </w:r>
      <w:r>
        <w:rPr>
          <w:rFonts w:hint="eastAsia" w:ascii="仿宋" w:hAnsi="仿宋" w:eastAsia="仿宋"/>
          <w:sz w:val="32"/>
          <w:szCs w:val="32"/>
        </w:rPr>
        <w:t>其中：一般公共预算拨款收入</w:t>
      </w:r>
      <w:r>
        <w:rPr>
          <w:rFonts w:hint="eastAsia" w:ascii="仿宋" w:hAnsi="仿宋" w:eastAsia="仿宋" w:cs="仿宋_GB2312"/>
          <w:sz w:val="32"/>
          <w:szCs w:val="32"/>
        </w:rPr>
        <w:t>526.45</w:t>
      </w:r>
      <w:r>
        <w:rPr>
          <w:rFonts w:hint="eastAsia" w:ascii="仿宋" w:hAnsi="仿宋" w:eastAsia="仿宋"/>
          <w:sz w:val="32"/>
          <w:szCs w:val="32"/>
        </w:rPr>
        <w:t>万元。</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sz w:val="32"/>
          <w:szCs w:val="32"/>
        </w:rPr>
        <w:t>相应安排支出预算</w:t>
      </w:r>
      <w:r>
        <w:rPr>
          <w:rFonts w:hint="eastAsia" w:ascii="仿宋" w:hAnsi="仿宋" w:eastAsia="仿宋" w:cs="仿宋_GB2312"/>
          <w:sz w:val="32"/>
          <w:szCs w:val="32"/>
        </w:rPr>
        <w:t>526.45</w:t>
      </w:r>
      <w:r>
        <w:rPr>
          <w:rFonts w:hint="eastAsia" w:ascii="仿宋" w:hAnsi="仿宋" w:eastAsia="仿宋"/>
          <w:sz w:val="32"/>
          <w:szCs w:val="32"/>
        </w:rPr>
        <w:t>万元，比上年减少</w:t>
      </w:r>
      <w:r>
        <w:rPr>
          <w:rFonts w:hint="eastAsia" w:ascii="仿宋" w:hAnsi="仿宋" w:eastAsia="仿宋" w:cs="仿宋_GB2312"/>
          <w:sz w:val="32"/>
          <w:szCs w:val="32"/>
        </w:rPr>
        <w:t>81.32</w:t>
      </w:r>
      <w:r>
        <w:rPr>
          <w:rFonts w:hint="eastAsia" w:ascii="仿宋" w:hAnsi="仿宋" w:eastAsia="仿宋"/>
          <w:sz w:val="32"/>
          <w:szCs w:val="32"/>
        </w:rPr>
        <w:t>万元，主要原因是</w:t>
      </w:r>
      <w:r>
        <w:rPr>
          <w:rFonts w:hint="eastAsia" w:ascii="仿宋" w:hAnsi="仿宋" w:eastAsia="仿宋" w:cs="仿宋_GB2312"/>
          <w:sz w:val="32"/>
          <w:szCs w:val="32"/>
        </w:rPr>
        <w:t>人员减少。</w:t>
      </w:r>
      <w:r>
        <w:rPr>
          <w:rFonts w:hint="eastAsia" w:ascii="仿宋" w:hAnsi="仿宋" w:eastAsia="仿宋"/>
          <w:sz w:val="32"/>
          <w:szCs w:val="32"/>
        </w:rPr>
        <w:t>其中：基本支出</w:t>
      </w:r>
      <w:r>
        <w:rPr>
          <w:rFonts w:hint="eastAsia" w:ascii="仿宋" w:hAnsi="仿宋" w:eastAsia="仿宋" w:cs="仿宋_GB2312"/>
          <w:sz w:val="32"/>
          <w:szCs w:val="32"/>
        </w:rPr>
        <w:t>459.54</w:t>
      </w:r>
      <w:r>
        <w:rPr>
          <w:rFonts w:hint="eastAsia" w:ascii="仿宋" w:hAnsi="仿宋" w:eastAsia="仿宋"/>
          <w:sz w:val="32"/>
          <w:szCs w:val="32"/>
        </w:rPr>
        <w:t>万元、项目支出</w:t>
      </w:r>
      <w:r>
        <w:rPr>
          <w:rFonts w:hint="eastAsia" w:ascii="仿宋" w:hAnsi="仿宋" w:eastAsia="仿宋" w:cs="仿宋_GB2312"/>
          <w:sz w:val="32"/>
          <w:szCs w:val="32"/>
        </w:rPr>
        <w:t>66.91</w:t>
      </w:r>
      <w:r>
        <w:rPr>
          <w:rFonts w:hint="eastAsia" w:ascii="仿宋" w:hAnsi="仿宋" w:eastAsia="仿宋"/>
          <w:sz w:val="32"/>
          <w:szCs w:val="32"/>
        </w:rPr>
        <w:t>万元。</w:t>
      </w: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二、一般公共预算拨款支出情况</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cs="宋体"/>
          <w:bCs/>
          <w:sz w:val="32"/>
          <w:szCs w:val="32"/>
        </w:rPr>
        <w:t>2022</w:t>
      </w:r>
      <w:r>
        <w:rPr>
          <w:rFonts w:hint="eastAsia" w:ascii="仿宋" w:hAnsi="仿宋" w:eastAsia="仿宋" w:cs="仿宋_GB2312"/>
          <w:sz w:val="32"/>
          <w:szCs w:val="32"/>
        </w:rPr>
        <w:t>年度一般公共预算拨款支出526.45元</w:t>
      </w:r>
      <w:r>
        <w:rPr>
          <w:rFonts w:hint="eastAsia" w:ascii="仿宋" w:hAnsi="仿宋" w:eastAsia="仿宋"/>
          <w:sz w:val="32"/>
          <w:szCs w:val="32"/>
        </w:rPr>
        <w:t>，比上年减少81.32</w:t>
      </w:r>
      <w:r>
        <w:rPr>
          <w:rFonts w:hint="eastAsia" w:ascii="仿宋" w:hAnsi="仿宋" w:eastAsia="仿宋" w:cs="仿宋_GB2312"/>
          <w:kern w:val="0"/>
          <w:sz w:val="32"/>
          <w:szCs w:val="32"/>
        </w:rPr>
        <w:t>万元，</w:t>
      </w:r>
      <w:r>
        <w:rPr>
          <w:rFonts w:hint="eastAsia" w:ascii="仿宋" w:hAnsi="仿宋" w:eastAsia="仿宋" w:cs="仿宋_GB2312"/>
          <w:sz w:val="32"/>
          <w:szCs w:val="32"/>
        </w:rPr>
        <w:t>降低13.38%，</w:t>
      </w:r>
      <w:r>
        <w:rPr>
          <w:rFonts w:hint="eastAsia" w:ascii="仿宋" w:hAnsi="仿宋" w:eastAsia="仿宋"/>
          <w:sz w:val="32"/>
          <w:szCs w:val="32"/>
        </w:rPr>
        <w:t>主要原因是</w:t>
      </w:r>
      <w:r>
        <w:rPr>
          <w:rFonts w:hint="eastAsia" w:ascii="仿宋" w:hAnsi="仿宋" w:eastAsia="仿宋" w:cs="仿宋_GB2312"/>
          <w:sz w:val="32"/>
          <w:szCs w:val="32"/>
        </w:rPr>
        <w:t>人员减少，主要支出项目(按项级科目分类统计)包括：</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cs="仿宋_GB2312"/>
          <w:sz w:val="32"/>
          <w:szCs w:val="32"/>
        </w:rPr>
        <w:t>（一）2080505-机关事业单位基本养老保险缴费支出34.04万元。主要用于区应急事务中心在职人员养老保险缴费支出。</w:t>
      </w:r>
    </w:p>
    <w:p>
      <w:pPr>
        <w:tabs>
          <w:tab w:val="left" w:pos="7513"/>
        </w:tabs>
        <w:adjustRightInd w:val="0"/>
        <w:snapToGrid w:val="0"/>
        <w:spacing w:line="600" w:lineRule="exact"/>
        <w:ind w:firstLine="640" w:firstLineChars="200"/>
        <w:rPr>
          <w:rFonts w:ascii="仿宋" w:hAnsi="仿宋" w:eastAsia="仿宋"/>
          <w:sz w:val="32"/>
          <w:szCs w:val="32"/>
        </w:rPr>
      </w:pPr>
      <w:r>
        <w:rPr>
          <w:rFonts w:hint="eastAsia" w:ascii="仿宋" w:hAnsi="仿宋" w:eastAsia="仿宋" w:cs="仿宋_GB2312"/>
          <w:sz w:val="32"/>
          <w:szCs w:val="32"/>
        </w:rPr>
        <w:t>（二）2130314-防汛58万元。主要用于防汛专项业务经费、防汛物资储备及防汛特种车辆运行支出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（三）2210201-住房公积金54.24万元。主要用于区应急事务中心在职人员住房公积金支出。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（四）2210202-提租补贴8.64万元，主要用于区应急事务中心在职人员提租补贴支出。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（五）2240150-事业运行371.53万元，主要用于区应急事务中心在职人员工资奖金、津补贴、办公经费、社会保障缴费等支出。</w:t>
      </w: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三、政府性基金预算拨款支出情况</w:t>
      </w:r>
    </w:p>
    <w:p>
      <w:pPr>
        <w:tabs>
          <w:tab w:val="left" w:pos="7513"/>
        </w:tabs>
        <w:adjustRightInd w:val="0"/>
        <w:snapToGrid w:val="0"/>
        <w:spacing w:line="600" w:lineRule="exact"/>
        <w:rPr>
          <w:rFonts w:ascii="仿宋" w:hAnsi="仿宋" w:eastAsia="仿宋" w:cs="仿宋_GB2312"/>
          <w:sz w:val="32"/>
          <w:szCs w:val="32"/>
        </w:rPr>
      </w:pPr>
      <w:r>
        <w:rPr>
          <w:rFonts w:hint="eastAsia" w:ascii="仿宋" w:hAnsi="仿宋" w:eastAsia="仿宋" w:cs="仿宋_GB2312"/>
          <w:sz w:val="32"/>
          <w:szCs w:val="32"/>
        </w:rPr>
        <w:t xml:space="preserve">    本部门2022年度没有使用政府性基金预算拨款安排的支出。</w:t>
      </w:r>
    </w:p>
    <w:p>
      <w:pPr>
        <w:tabs>
          <w:tab w:val="left" w:pos="7513"/>
        </w:tabs>
        <w:adjustRightInd w:val="0"/>
        <w:snapToGrid w:val="0"/>
        <w:spacing w:line="600" w:lineRule="exact"/>
        <w:rPr>
          <w:rFonts w:ascii="黑体" w:hAnsi="黑体" w:eastAsia="黑体" w:cs="仿宋_GB2312"/>
          <w:bCs/>
          <w:sz w:val="32"/>
          <w:szCs w:val="32"/>
        </w:rPr>
      </w:pPr>
      <w:r>
        <w:rPr>
          <w:rFonts w:hint="eastAsia" w:ascii="黑体" w:hAnsi="黑体" w:eastAsia="黑体" w:cs="仿宋_GB2312"/>
          <w:bCs/>
          <w:sz w:val="32"/>
          <w:szCs w:val="32"/>
        </w:rPr>
        <w:t>四、国有资本经营预算拨款支出情况</w:t>
      </w:r>
    </w:p>
    <w:p>
      <w:pPr>
        <w:tabs>
          <w:tab w:val="left" w:pos="7513"/>
        </w:tabs>
        <w:adjustRightInd w:val="0"/>
        <w:snapToGrid w:val="0"/>
        <w:spacing w:line="600" w:lineRule="exact"/>
        <w:rPr>
          <w:rFonts w:ascii="仿宋" w:hAnsi="仿宋" w:eastAsia="仿宋" w:cs="仿宋_GB2312"/>
          <w:sz w:val="32"/>
          <w:szCs w:val="32"/>
        </w:rPr>
      </w:pPr>
      <w:r>
        <w:rPr>
          <w:rFonts w:hint="eastAsia" w:ascii="仿宋" w:hAnsi="仿宋" w:eastAsia="仿宋" w:cs="仿宋_GB2312"/>
          <w:sz w:val="32"/>
          <w:szCs w:val="32"/>
        </w:rPr>
        <w:t xml:space="preserve">    本部门2022年度没有使用国有资本经营预算拨款安排的支出。</w:t>
      </w: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五、一般公共预算拨款基本支出情况</w:t>
      </w:r>
    </w:p>
    <w:p>
      <w:pPr>
        <w:tabs>
          <w:tab w:val="left" w:pos="7513"/>
        </w:tabs>
        <w:adjustRightInd w:val="0"/>
        <w:snapToGrid w:val="0"/>
        <w:spacing w:line="600" w:lineRule="exact"/>
        <w:ind w:firstLine="800" w:firstLineChars="250"/>
        <w:rPr>
          <w:rFonts w:ascii="仿宋" w:hAnsi="仿宋" w:eastAsia="仿宋" w:cs="仿宋_GB2312"/>
          <w:sz w:val="32"/>
          <w:szCs w:val="32"/>
        </w:rPr>
      </w:pPr>
      <w:r>
        <w:rPr>
          <w:rFonts w:hint="eastAsia" w:ascii="仿宋" w:hAnsi="仿宋" w:eastAsia="仿宋" w:cs="宋体"/>
          <w:bCs/>
          <w:sz w:val="32"/>
          <w:szCs w:val="32"/>
        </w:rPr>
        <w:t>2022</w:t>
      </w:r>
      <w:r>
        <w:rPr>
          <w:rFonts w:hint="eastAsia" w:ascii="仿宋" w:hAnsi="仿宋" w:eastAsia="仿宋" w:cs="仿宋_GB2312"/>
          <w:sz w:val="32"/>
          <w:szCs w:val="32"/>
        </w:rPr>
        <w:t>年度一般公共预算拨款基本支出459.54万元，其中：</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一）人员经费429.99万元，主要包括：基本工资、津贴补贴、奖金、伙食补助费、绩效工资、机关事业单位基本养老保险缴费、职业年金缴费、职工基本医疗保险缴费、公务员医疗补助缴费、其他社会保障缴费、住房公积金、医疗费、其他工资福利支出、离休费、退休费、抚恤金、生活补助、医疗费补助、奖励金、其他对个人和家庭的补助支出。</w:t>
      </w:r>
    </w:p>
    <w:p>
      <w:pPr>
        <w:tabs>
          <w:tab w:val="left" w:pos="7513"/>
        </w:tabs>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二）公用经费29.55万元，主要包括：办公费、印刷费、咨询费、手续费、水费、电费、邮电费、取暖费、物业管理费、差旅费、因公出国（境）费用、维修（护）费、租赁费、会议费、培训费、公务接待费、专用材料费、劳务费、委托业务费、工会经费、福利费、公务用车运行维护费、其他交通费用、税金及附加费用、其他商品和服务支出、办公设备购置、专用设备购置、信息网络及软件购置更新、公务用车购置、其他资本性支出。</w:t>
      </w:r>
    </w:p>
    <w:p>
      <w:pPr>
        <w:tabs>
          <w:tab w:val="left" w:pos="7513"/>
        </w:tabs>
        <w:adjustRightInd w:val="0"/>
        <w:snapToGrid w:val="0"/>
        <w:spacing w:line="600" w:lineRule="exact"/>
        <w:rPr>
          <w:rFonts w:ascii="黑体" w:hAnsi="黑体" w:eastAsia="黑体"/>
          <w:sz w:val="32"/>
          <w:szCs w:val="32"/>
        </w:rPr>
      </w:pPr>
      <w:r>
        <w:rPr>
          <w:rFonts w:hint="eastAsia" w:ascii="黑体" w:hAnsi="黑体" w:eastAsia="黑体"/>
          <w:sz w:val="32"/>
          <w:szCs w:val="32"/>
        </w:rPr>
        <w:t>六、一般公共预算“三公”经费支出情况</w:t>
      </w:r>
    </w:p>
    <w:p>
      <w:pPr>
        <w:widowControl/>
        <w:adjustRightInd w:val="0"/>
        <w:snapToGrid w:val="0"/>
        <w:spacing w:line="600" w:lineRule="exact"/>
        <w:ind w:firstLine="660"/>
        <w:rPr>
          <w:rFonts w:ascii="楷体" w:hAnsi="楷体" w:eastAsia="楷体" w:cs="宋体"/>
          <w:b/>
          <w:bCs/>
          <w:kern w:val="0"/>
          <w:sz w:val="32"/>
          <w:szCs w:val="32"/>
        </w:rPr>
      </w:pPr>
      <w:r>
        <w:rPr>
          <w:rFonts w:hint="eastAsia" w:ascii="楷体" w:hAnsi="楷体" w:eastAsia="楷体"/>
          <w:b/>
          <w:sz w:val="32"/>
          <w:szCs w:val="32"/>
        </w:rPr>
        <w:t>（一）</w:t>
      </w:r>
      <w:r>
        <w:rPr>
          <w:rFonts w:hint="eastAsia" w:ascii="楷体" w:hAnsi="楷体" w:eastAsia="楷体" w:cs="宋体"/>
          <w:b/>
          <w:bCs/>
          <w:kern w:val="0"/>
          <w:sz w:val="32"/>
          <w:szCs w:val="32"/>
        </w:rPr>
        <w:t>因公出国（境）经费</w:t>
      </w:r>
    </w:p>
    <w:p>
      <w:pPr>
        <w:widowControl/>
        <w:adjustRightInd w:val="0"/>
        <w:snapToGrid w:val="0"/>
        <w:spacing w:line="600" w:lineRule="exact"/>
        <w:ind w:firstLine="660"/>
        <w:rPr>
          <w:rFonts w:ascii="楷体" w:hAnsi="楷体" w:eastAsia="楷体" w:cs="仿宋_GB2312"/>
          <w:sz w:val="32"/>
          <w:szCs w:val="32"/>
        </w:rPr>
      </w:pPr>
      <w:r>
        <w:rPr>
          <w:rFonts w:hint="eastAsia" w:ascii="仿宋" w:hAnsi="仿宋" w:eastAsia="仿宋" w:cs="仿宋_GB2312"/>
          <w:kern w:val="0"/>
          <w:sz w:val="32"/>
          <w:szCs w:val="32"/>
        </w:rPr>
        <w:t>2022年</w:t>
      </w:r>
      <w:r>
        <w:rPr>
          <w:rFonts w:hint="eastAsia" w:ascii="仿宋" w:hAnsi="仿宋" w:eastAsia="仿宋" w:cs="宋体"/>
          <w:kern w:val="0"/>
          <w:sz w:val="32"/>
          <w:szCs w:val="32"/>
        </w:rPr>
        <w:t>预算安排</w:t>
      </w:r>
      <w:r>
        <w:rPr>
          <w:rFonts w:hint="eastAsia" w:ascii="仿宋" w:hAnsi="仿宋" w:eastAsia="仿宋" w:cs="仿宋_GB2312"/>
          <w:kern w:val="0"/>
          <w:sz w:val="32"/>
          <w:szCs w:val="32"/>
        </w:rPr>
        <w:t>0</w:t>
      </w:r>
      <w:r>
        <w:rPr>
          <w:rFonts w:hint="eastAsia" w:ascii="仿宋" w:hAnsi="仿宋" w:eastAsia="仿宋" w:cs="宋体"/>
          <w:kern w:val="0"/>
          <w:sz w:val="32"/>
          <w:szCs w:val="32"/>
        </w:rPr>
        <w:t>万元，</w:t>
      </w:r>
      <w:r>
        <w:rPr>
          <w:rFonts w:hint="eastAsia" w:ascii="仿宋" w:hAnsi="仿宋" w:eastAsia="仿宋" w:cs="仿宋_GB2312"/>
          <w:sz w:val="32"/>
          <w:szCs w:val="32"/>
        </w:rPr>
        <w:t>与上年持平。</w:t>
      </w:r>
    </w:p>
    <w:p>
      <w:pPr>
        <w:widowControl/>
        <w:adjustRightInd w:val="0"/>
        <w:snapToGrid w:val="0"/>
        <w:spacing w:line="600" w:lineRule="exact"/>
        <w:ind w:firstLine="660"/>
        <w:rPr>
          <w:rFonts w:ascii="楷体" w:hAnsi="楷体" w:eastAsia="楷体" w:cs="宋体"/>
          <w:b/>
          <w:bCs/>
          <w:kern w:val="0"/>
          <w:sz w:val="32"/>
          <w:szCs w:val="32"/>
        </w:rPr>
      </w:pPr>
      <w:r>
        <w:rPr>
          <w:rFonts w:hint="eastAsia" w:ascii="楷体" w:hAnsi="楷体" w:eastAsia="楷体"/>
          <w:b/>
          <w:sz w:val="32"/>
          <w:szCs w:val="32"/>
        </w:rPr>
        <w:t>（二）</w:t>
      </w:r>
      <w:r>
        <w:rPr>
          <w:rFonts w:hint="eastAsia" w:ascii="楷体" w:hAnsi="楷体" w:eastAsia="楷体" w:cs="宋体"/>
          <w:b/>
          <w:bCs/>
          <w:kern w:val="0"/>
          <w:sz w:val="32"/>
          <w:szCs w:val="32"/>
        </w:rPr>
        <w:t>公务接待费</w:t>
      </w:r>
    </w:p>
    <w:p>
      <w:pPr>
        <w:widowControl/>
        <w:adjustRightInd w:val="0"/>
        <w:snapToGrid w:val="0"/>
        <w:spacing w:line="600" w:lineRule="exact"/>
        <w:ind w:firstLine="660"/>
        <w:rPr>
          <w:rFonts w:ascii="仿宋" w:hAnsi="仿宋" w:eastAsia="仿宋" w:cs="仿宋_GB2312"/>
          <w:sz w:val="32"/>
          <w:szCs w:val="32"/>
        </w:rPr>
      </w:pPr>
      <w:r>
        <w:rPr>
          <w:rFonts w:hint="eastAsia" w:ascii="仿宋" w:hAnsi="仿宋" w:eastAsia="仿宋" w:cs="仿宋_GB2312"/>
          <w:kern w:val="0"/>
          <w:sz w:val="32"/>
          <w:szCs w:val="32"/>
        </w:rPr>
        <w:t>2022</w:t>
      </w:r>
      <w:r>
        <w:rPr>
          <w:rFonts w:hint="eastAsia" w:ascii="仿宋" w:hAnsi="仿宋" w:eastAsia="仿宋" w:cs="宋体"/>
          <w:kern w:val="0"/>
          <w:sz w:val="32"/>
          <w:szCs w:val="32"/>
        </w:rPr>
        <w:t>年预算安排</w:t>
      </w:r>
      <w:r>
        <w:rPr>
          <w:rFonts w:hint="eastAsia" w:ascii="仿宋" w:hAnsi="仿宋" w:eastAsia="仿宋" w:cs="仿宋_GB2312"/>
          <w:kern w:val="0"/>
          <w:sz w:val="32"/>
          <w:szCs w:val="32"/>
        </w:rPr>
        <w:t>0.1653</w:t>
      </w:r>
      <w:r>
        <w:rPr>
          <w:rFonts w:hint="eastAsia" w:ascii="仿宋" w:hAnsi="仿宋" w:eastAsia="仿宋" w:cs="宋体"/>
          <w:kern w:val="0"/>
          <w:sz w:val="32"/>
          <w:szCs w:val="32"/>
        </w:rPr>
        <w:t>万元，</w:t>
      </w:r>
      <w:r>
        <w:rPr>
          <w:rFonts w:hint="eastAsia" w:ascii="仿宋" w:hAnsi="仿宋" w:eastAsia="仿宋" w:cs="仿宋_GB2312"/>
          <w:sz w:val="32"/>
          <w:szCs w:val="32"/>
        </w:rPr>
        <w:t>比上年减少1.3347</w:t>
      </w:r>
      <w:r>
        <w:rPr>
          <w:rFonts w:hint="eastAsia" w:ascii="仿宋" w:hAnsi="仿宋" w:eastAsia="仿宋" w:cs="仿宋_GB2312"/>
          <w:kern w:val="0"/>
          <w:sz w:val="32"/>
          <w:szCs w:val="32"/>
        </w:rPr>
        <w:t>万元，</w:t>
      </w:r>
      <w:r>
        <w:rPr>
          <w:rFonts w:hint="eastAsia" w:ascii="仿宋" w:hAnsi="仿宋" w:eastAsia="仿宋" w:cs="仿宋_GB2312"/>
          <w:sz w:val="32"/>
          <w:szCs w:val="32"/>
        </w:rPr>
        <w:t>降低88.98%。主要原因是严格控制公务接待费支出。</w:t>
      </w:r>
    </w:p>
    <w:p>
      <w:pPr>
        <w:adjustRightInd w:val="0"/>
        <w:snapToGrid w:val="0"/>
        <w:spacing w:line="600" w:lineRule="exact"/>
        <w:ind w:firstLine="643" w:firstLineChars="200"/>
        <w:rPr>
          <w:rFonts w:ascii="楷体" w:hAnsi="楷体" w:eastAsia="楷体" w:cs="宋体"/>
          <w:b/>
          <w:bCs/>
          <w:kern w:val="0"/>
          <w:sz w:val="32"/>
          <w:szCs w:val="32"/>
        </w:rPr>
      </w:pPr>
      <w:r>
        <w:rPr>
          <w:rFonts w:hint="eastAsia" w:ascii="楷体" w:hAnsi="楷体" w:eastAsia="楷体"/>
          <w:b/>
          <w:sz w:val="32"/>
          <w:szCs w:val="32"/>
        </w:rPr>
        <w:t>（三）</w:t>
      </w:r>
      <w:r>
        <w:rPr>
          <w:rFonts w:hint="eastAsia" w:ascii="楷体" w:hAnsi="楷体" w:eastAsia="楷体" w:cs="宋体"/>
          <w:b/>
          <w:bCs/>
          <w:kern w:val="0"/>
          <w:sz w:val="32"/>
          <w:szCs w:val="32"/>
        </w:rPr>
        <w:t>公务用车购置及运行费</w:t>
      </w:r>
    </w:p>
    <w:p>
      <w:pPr>
        <w:adjustRightInd w:val="0"/>
        <w:snapToGrid w:val="0"/>
        <w:spacing w:line="600" w:lineRule="exact"/>
        <w:ind w:firstLine="640" w:firstLineChars="200"/>
        <w:rPr>
          <w:rFonts w:ascii="仿宋" w:hAnsi="仿宋" w:eastAsia="仿宋" w:cs="仿宋_GB2312"/>
          <w:sz w:val="32"/>
          <w:szCs w:val="32"/>
        </w:rPr>
      </w:pPr>
      <w:r>
        <w:rPr>
          <w:rFonts w:hint="eastAsia" w:ascii="仿宋" w:hAnsi="仿宋" w:eastAsia="仿宋" w:cs="仿宋_GB2312"/>
          <w:kern w:val="0"/>
          <w:sz w:val="32"/>
          <w:szCs w:val="32"/>
        </w:rPr>
        <w:t>2022</w:t>
      </w:r>
      <w:r>
        <w:rPr>
          <w:rFonts w:hint="eastAsia" w:ascii="仿宋" w:hAnsi="仿宋" w:eastAsia="仿宋" w:cs="宋体"/>
          <w:kern w:val="0"/>
          <w:sz w:val="32"/>
          <w:szCs w:val="32"/>
        </w:rPr>
        <w:t>年预算安排</w:t>
      </w:r>
      <w:r>
        <w:rPr>
          <w:rFonts w:hint="eastAsia" w:ascii="仿宋" w:hAnsi="仿宋" w:eastAsia="仿宋" w:cs="仿宋_GB2312"/>
          <w:kern w:val="0"/>
          <w:sz w:val="32"/>
          <w:szCs w:val="32"/>
        </w:rPr>
        <w:t>0</w:t>
      </w:r>
      <w:r>
        <w:rPr>
          <w:rFonts w:hint="eastAsia" w:ascii="仿宋" w:hAnsi="仿宋" w:eastAsia="仿宋" w:cs="宋体"/>
          <w:kern w:val="0"/>
          <w:sz w:val="32"/>
          <w:szCs w:val="32"/>
        </w:rPr>
        <w:t>万元，其中：公务用车运行费</w:t>
      </w:r>
      <w:r>
        <w:rPr>
          <w:rFonts w:hint="eastAsia" w:ascii="仿宋" w:hAnsi="仿宋" w:eastAsia="仿宋" w:cs="仿宋_GB2312"/>
          <w:kern w:val="0"/>
          <w:sz w:val="32"/>
          <w:szCs w:val="32"/>
        </w:rPr>
        <w:t>0</w:t>
      </w:r>
      <w:r>
        <w:rPr>
          <w:rFonts w:hint="eastAsia" w:ascii="仿宋" w:hAnsi="仿宋" w:eastAsia="仿宋" w:cs="宋体"/>
          <w:kern w:val="0"/>
          <w:sz w:val="32"/>
          <w:szCs w:val="32"/>
        </w:rPr>
        <w:t>万元，</w:t>
      </w:r>
      <w:r>
        <w:rPr>
          <w:rFonts w:hint="eastAsia" w:ascii="仿宋" w:hAnsi="仿宋" w:eastAsia="仿宋" w:cs="仿宋_GB2312"/>
          <w:sz w:val="32"/>
          <w:szCs w:val="32"/>
        </w:rPr>
        <w:t>比上年减少4.8</w:t>
      </w:r>
      <w:r>
        <w:rPr>
          <w:rFonts w:hint="eastAsia" w:ascii="仿宋" w:hAnsi="仿宋" w:eastAsia="仿宋" w:cs="仿宋_GB2312"/>
          <w:kern w:val="0"/>
          <w:sz w:val="32"/>
          <w:szCs w:val="32"/>
        </w:rPr>
        <w:t>万元，</w:t>
      </w:r>
      <w:r>
        <w:rPr>
          <w:rFonts w:hint="eastAsia" w:ascii="仿宋" w:hAnsi="仿宋" w:eastAsia="仿宋" w:cs="仿宋_GB2312"/>
          <w:sz w:val="32"/>
          <w:szCs w:val="32"/>
        </w:rPr>
        <w:t>降低100%；</w:t>
      </w:r>
      <w:r>
        <w:rPr>
          <w:rFonts w:hint="eastAsia" w:ascii="仿宋" w:hAnsi="仿宋" w:eastAsia="仿宋" w:cs="宋体"/>
          <w:kern w:val="0"/>
          <w:sz w:val="32"/>
          <w:szCs w:val="32"/>
        </w:rPr>
        <w:t>公务用车购置费</w:t>
      </w:r>
      <w:r>
        <w:rPr>
          <w:rFonts w:hint="eastAsia" w:ascii="仿宋" w:hAnsi="仿宋" w:eastAsia="仿宋" w:cs="仿宋_GB2312"/>
          <w:kern w:val="0"/>
          <w:sz w:val="32"/>
          <w:szCs w:val="32"/>
        </w:rPr>
        <w:t>0</w:t>
      </w:r>
      <w:r>
        <w:rPr>
          <w:rFonts w:hint="eastAsia" w:ascii="仿宋" w:hAnsi="仿宋" w:eastAsia="仿宋" w:cs="宋体"/>
          <w:kern w:val="0"/>
          <w:sz w:val="32"/>
          <w:szCs w:val="32"/>
        </w:rPr>
        <w:t>万元，</w:t>
      </w:r>
      <w:r>
        <w:rPr>
          <w:rFonts w:hint="eastAsia" w:ascii="仿宋" w:hAnsi="仿宋" w:eastAsia="仿宋" w:cs="仿宋_GB2312"/>
          <w:sz w:val="32"/>
          <w:szCs w:val="32"/>
        </w:rPr>
        <w:t>与上年持平。主要原因是:车辆已经报废。</w:t>
      </w:r>
    </w:p>
    <w:p>
      <w:pPr>
        <w:spacing w:line="600" w:lineRule="exact"/>
        <w:rPr>
          <w:rFonts w:ascii="黑体" w:hAnsi="黑体" w:eastAsia="黑体"/>
          <w:sz w:val="32"/>
          <w:szCs w:val="32"/>
        </w:rPr>
      </w:pPr>
      <w:r>
        <w:rPr>
          <w:rFonts w:hint="eastAsia" w:ascii="黑体" w:hAnsi="黑体" w:eastAsia="黑体"/>
          <w:sz w:val="32"/>
          <w:szCs w:val="32"/>
        </w:rPr>
        <w:t>七、预算绩效目标情况</w:t>
      </w:r>
    </w:p>
    <w:p>
      <w:pPr>
        <w:spacing w:line="590" w:lineRule="exact"/>
        <w:ind w:firstLine="630" w:firstLineChars="196"/>
        <w:rPr>
          <w:rFonts w:ascii="仿宋" w:hAnsi="仿宋" w:eastAsia="仿宋" w:cs="仿宋_GB2312"/>
          <w:kern w:val="0"/>
          <w:sz w:val="32"/>
          <w:szCs w:val="32"/>
        </w:rPr>
      </w:pPr>
      <w:r>
        <w:rPr>
          <w:rFonts w:hint="eastAsia" w:ascii="楷体" w:hAnsi="楷体" w:eastAsia="楷体"/>
          <w:b/>
          <w:sz w:val="32"/>
          <w:szCs w:val="32"/>
        </w:rPr>
        <w:t>（一）绩效目标设置情况</w:t>
      </w:r>
    </w:p>
    <w:p>
      <w:pPr>
        <w:spacing w:line="590" w:lineRule="exact"/>
        <w:ind w:firstLine="627" w:firstLineChars="196"/>
        <w:rPr>
          <w:rFonts w:ascii="仿宋" w:hAnsi="仿宋" w:eastAsia="仿宋" w:cs="仿宋_GB2312"/>
          <w:kern w:val="0"/>
          <w:sz w:val="32"/>
          <w:szCs w:val="32"/>
        </w:rPr>
      </w:pPr>
      <w:r>
        <w:rPr>
          <w:rFonts w:hint="eastAsia" w:ascii="仿宋" w:hAnsi="仿宋" w:eastAsia="仿宋" w:cs="仿宋_GB2312"/>
          <w:kern w:val="0"/>
          <w:sz w:val="32"/>
          <w:szCs w:val="32"/>
        </w:rPr>
        <w:t>2022年，平潭综合实验区应急事务中心共设置6个项目绩效目标，共涉及财政拨款资金526.45万元。</w:t>
      </w:r>
    </w:p>
    <w:p>
      <w:pPr>
        <w:spacing w:line="590" w:lineRule="exact"/>
        <w:ind w:firstLine="630" w:firstLineChars="196"/>
        <w:rPr>
          <w:rFonts w:ascii="楷体" w:hAnsi="楷体" w:eastAsia="楷体"/>
          <w:b/>
          <w:sz w:val="32"/>
          <w:szCs w:val="32"/>
        </w:rPr>
      </w:pPr>
      <w:r>
        <w:rPr>
          <w:rFonts w:hint="eastAsia" w:ascii="楷体" w:hAnsi="楷体" w:eastAsia="楷体"/>
          <w:b/>
          <w:sz w:val="32"/>
          <w:szCs w:val="32"/>
        </w:rPr>
        <w:t>（二）绩效目标表及说明</w:t>
      </w:r>
    </w:p>
    <w:p>
      <w:pPr>
        <w:spacing w:line="590" w:lineRule="exact"/>
        <w:ind w:firstLine="643" w:firstLineChars="200"/>
        <w:rPr>
          <w:rFonts w:ascii="仿宋" w:hAnsi="仿宋" w:eastAsia="仿宋"/>
          <w:b/>
          <w:sz w:val="32"/>
          <w:szCs w:val="32"/>
        </w:rPr>
      </w:pPr>
      <w:r>
        <w:rPr>
          <w:rFonts w:hint="eastAsia" w:ascii="仿宋" w:hAnsi="仿宋" w:eastAsia="仿宋"/>
          <w:b/>
          <w:sz w:val="32"/>
          <w:szCs w:val="32"/>
        </w:rPr>
        <w:t>1.项目支出绩效目标表</w:t>
      </w:r>
    </w:p>
    <w:tbl>
      <w:tblPr>
        <w:tblStyle w:val="6"/>
        <w:tblW w:w="8220" w:type="dxa"/>
        <w:tblInd w:w="0" w:type="dxa"/>
        <w:tblLayout w:type="fixed"/>
        <w:tblCellMar>
          <w:top w:w="0" w:type="dxa"/>
          <w:left w:w="108" w:type="dxa"/>
          <w:bottom w:w="0" w:type="dxa"/>
          <w:right w:w="108" w:type="dxa"/>
        </w:tblCellMar>
      </w:tblPr>
      <w:tblGrid>
        <w:gridCol w:w="1149"/>
        <w:gridCol w:w="1174"/>
        <w:gridCol w:w="1932"/>
        <w:gridCol w:w="1982"/>
        <w:gridCol w:w="1983"/>
      </w:tblGrid>
      <w:tr>
        <w:tblPrEx>
          <w:tblCellMar>
            <w:top w:w="0" w:type="dxa"/>
            <w:left w:w="108" w:type="dxa"/>
            <w:bottom w:w="0" w:type="dxa"/>
            <w:right w:w="108" w:type="dxa"/>
          </w:tblCellMar>
        </w:tblPrEx>
        <w:trPr>
          <w:trHeight w:val="615" w:hRule="atLeast"/>
        </w:trPr>
        <w:tc>
          <w:tcPr>
            <w:tcW w:w="8220" w:type="dxa"/>
            <w:gridSpan w:val="5"/>
            <w:tcBorders>
              <w:top w:val="nil"/>
              <w:left w:val="nil"/>
              <w:bottom w:val="single" w:color="000000" w:sz="4" w:space="0"/>
              <w:right w:val="nil"/>
            </w:tcBorders>
            <w:tcMar>
              <w:top w:w="15" w:type="dxa"/>
              <w:left w:w="15" w:type="dxa"/>
              <w:bottom w:w="15" w:type="dxa"/>
              <w:right w:w="15" w:type="dxa"/>
            </w:tcMar>
          </w:tcPr>
          <w:p/>
          <w:tbl>
            <w:tblPr>
              <w:tblStyle w:val="6"/>
              <w:tblW w:w="8080" w:type="dxa"/>
              <w:tblInd w:w="0" w:type="dxa"/>
              <w:tblLayout w:type="fixed"/>
              <w:tblCellMar>
                <w:top w:w="0" w:type="dxa"/>
                <w:left w:w="108" w:type="dxa"/>
                <w:bottom w:w="0" w:type="dxa"/>
                <w:right w:w="108" w:type="dxa"/>
              </w:tblCellMar>
            </w:tblPr>
            <w:tblGrid>
              <w:gridCol w:w="1149"/>
              <w:gridCol w:w="1174"/>
              <w:gridCol w:w="1932"/>
              <w:gridCol w:w="1982"/>
              <w:gridCol w:w="1843"/>
            </w:tblGrid>
            <w:tr>
              <w:tblPrEx>
                <w:tblCellMar>
                  <w:top w:w="0" w:type="dxa"/>
                  <w:left w:w="108" w:type="dxa"/>
                  <w:bottom w:w="0" w:type="dxa"/>
                  <w:right w:w="108" w:type="dxa"/>
                </w:tblCellMar>
              </w:tblPrEx>
              <w:trPr>
                <w:trHeight w:val="615" w:hRule="atLeast"/>
              </w:trPr>
              <w:tc>
                <w:tcPr>
                  <w:tcW w:w="8080" w:type="dxa"/>
                  <w:gridSpan w:val="5"/>
                  <w:tcBorders>
                    <w:top w:val="nil"/>
                    <w:left w:val="nil"/>
                    <w:bottom w:val="single" w:color="000000" w:sz="4" w:space="0"/>
                    <w:right w:val="nil"/>
                  </w:tcBorders>
                  <w:tcMar>
                    <w:top w:w="15" w:type="dxa"/>
                    <w:left w:w="15" w:type="dxa"/>
                    <w:bottom w:w="15" w:type="dxa"/>
                    <w:right w:w="15" w:type="dxa"/>
                  </w:tcMar>
                </w:tcPr>
                <w:p>
                  <w:pPr>
                    <w:widowControl/>
                    <w:tabs>
                      <w:tab w:val="left" w:pos="1815"/>
                      <w:tab w:val="center" w:pos="4025"/>
                    </w:tabs>
                    <w:spacing w:line="590" w:lineRule="exact"/>
                    <w:jc w:val="center"/>
                    <w:textAlignment w:val="top"/>
                    <w:rPr>
                      <w:rFonts w:ascii="方正小标宋简体" w:hAnsi="方正小标宋简体" w:eastAsia="方正小标宋简体" w:cs="方正小标宋简体"/>
                      <w:kern w:val="0"/>
                      <w:sz w:val="36"/>
                      <w:szCs w:val="36"/>
                    </w:rPr>
                  </w:pPr>
                  <w:r>
                    <w:rPr>
                      <w:rFonts w:hint="eastAsia" w:ascii="方正小标宋简体" w:hAnsi="方正小标宋简体" w:eastAsia="方正小标宋简体" w:cs="方正小标宋简体"/>
                      <w:kern w:val="0"/>
                      <w:sz w:val="36"/>
                      <w:szCs w:val="36"/>
                    </w:rPr>
                    <w:t>部门业务费绩效目标表</w:t>
                  </w:r>
                </w:p>
              </w:tc>
            </w:tr>
            <w:tr>
              <w:tblPrEx>
                <w:tblCellMar>
                  <w:top w:w="0" w:type="dxa"/>
                  <w:left w:w="108" w:type="dxa"/>
                  <w:bottom w:w="0" w:type="dxa"/>
                  <w:right w:w="108" w:type="dxa"/>
                </w:tblCellMar>
              </w:tblPrEx>
              <w:trPr>
                <w:trHeight w:val="427"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项目资金（万元）</w:t>
                  </w: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left"/>
                    <w:textAlignment w:val="center"/>
                    <w:rPr>
                      <w:rFonts w:ascii="宋体" w:hAnsi="宋体" w:eastAsia="宋体" w:cs="宋体"/>
                      <w:sz w:val="24"/>
                      <w:szCs w:val="24"/>
                    </w:rPr>
                  </w:pPr>
                  <w:r>
                    <w:rPr>
                      <w:rFonts w:hint="eastAsia" w:ascii="宋体" w:hAnsi="宋体" w:eastAsia="宋体" w:cs="宋体"/>
                      <w:kern w:val="0"/>
                      <w:sz w:val="24"/>
                      <w:szCs w:val="24"/>
                    </w:rPr>
                    <w:t xml:space="preserve">资金总额： </w:t>
                  </w:r>
                </w:p>
              </w:tc>
              <w:tc>
                <w:tcPr>
                  <w:tcW w:w="382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459.54</w:t>
                  </w:r>
                </w:p>
              </w:tc>
            </w:tr>
            <w:tr>
              <w:tblPrEx>
                <w:tblCellMar>
                  <w:top w:w="0" w:type="dxa"/>
                  <w:left w:w="108" w:type="dxa"/>
                  <w:bottom w:w="0" w:type="dxa"/>
                  <w:right w:w="108" w:type="dxa"/>
                </w:tblCellMar>
              </w:tblPrEx>
              <w:trPr>
                <w:trHeight w:val="42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财政拨款：</w:t>
                  </w:r>
                </w:p>
              </w:tc>
              <w:tc>
                <w:tcPr>
                  <w:tcW w:w="382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459.54</w:t>
                  </w:r>
                </w:p>
              </w:tc>
            </w:tr>
            <w:tr>
              <w:tblPrEx>
                <w:tblCellMar>
                  <w:top w:w="0" w:type="dxa"/>
                  <w:left w:w="108" w:type="dxa"/>
                  <w:bottom w:w="0" w:type="dxa"/>
                  <w:right w:w="108" w:type="dxa"/>
                </w:tblCellMar>
              </w:tblPrEx>
              <w:trPr>
                <w:trHeight w:val="40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其他资金： </w:t>
                  </w:r>
                </w:p>
              </w:tc>
              <w:tc>
                <w:tcPr>
                  <w:tcW w:w="382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0</w:t>
                  </w:r>
                </w:p>
              </w:tc>
            </w:tr>
            <w:tr>
              <w:tblPrEx>
                <w:tblCellMar>
                  <w:top w:w="0" w:type="dxa"/>
                  <w:left w:w="108" w:type="dxa"/>
                  <w:bottom w:w="0" w:type="dxa"/>
                  <w:right w:w="108" w:type="dxa"/>
                </w:tblCellMar>
              </w:tblPrEx>
              <w:trPr>
                <w:trHeight w:val="759" w:hRule="atLeast"/>
              </w:trPr>
              <w:tc>
                <w:tcPr>
                  <w:tcW w:w="1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r>
                    <w:rPr>
                      <w:rFonts w:hint="eastAsia" w:ascii="宋体" w:hAnsi="宋体" w:eastAsia="宋体" w:cs="宋体"/>
                      <w:kern w:val="0"/>
                      <w:sz w:val="24"/>
                      <w:szCs w:val="24"/>
                    </w:rPr>
                    <w:t>总体</w:t>
                  </w:r>
                </w:p>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w:t>
                  </w:r>
                </w:p>
              </w:tc>
              <w:tc>
                <w:tcPr>
                  <w:tcW w:w="6931" w:type="dxa"/>
                  <w:gridSpan w:val="4"/>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保障2022年区应急事务中心全体在职人员的工资福利及业务经费，</w:t>
                  </w:r>
                </w:p>
                <w:p>
                  <w:pPr>
                    <w:jc w:val="center"/>
                    <w:rPr>
                      <w:rFonts w:ascii="宋体" w:hAnsi="宋体" w:eastAsia="宋体" w:cs="宋体"/>
                      <w:sz w:val="24"/>
                      <w:szCs w:val="24"/>
                    </w:rPr>
                  </w:pPr>
                  <w:r>
                    <w:rPr>
                      <w:rFonts w:hint="eastAsia" w:ascii="宋体" w:hAnsi="宋体" w:eastAsia="宋体" w:cs="宋体"/>
                      <w:kern w:val="0"/>
                      <w:sz w:val="24"/>
                      <w:szCs w:val="24"/>
                    </w:rPr>
                    <w:t>确保日常工作顺利开展。</w:t>
                  </w:r>
                </w:p>
              </w:tc>
            </w:tr>
            <w:tr>
              <w:tblPrEx>
                <w:tblCellMar>
                  <w:top w:w="0" w:type="dxa"/>
                  <w:left w:w="108" w:type="dxa"/>
                  <w:bottom w:w="0" w:type="dxa"/>
                  <w:right w:w="108" w:type="dxa"/>
                </w:tblCellMar>
              </w:tblPrEx>
              <w:trPr>
                <w:trHeight w:val="388"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绩效目标指标   </w:t>
                  </w: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一级指标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二级指标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三级指标</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目标值</w:t>
                  </w:r>
                </w:p>
              </w:tc>
            </w:tr>
            <w:tr>
              <w:tblPrEx>
                <w:tblCellMar>
                  <w:top w:w="0" w:type="dxa"/>
                  <w:left w:w="108" w:type="dxa"/>
                  <w:bottom w:w="0" w:type="dxa"/>
                  <w:right w:w="108" w:type="dxa"/>
                </w:tblCellMar>
              </w:tblPrEx>
              <w:trPr>
                <w:trHeight w:val="38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产出指标</w:t>
                  </w:r>
                </w:p>
              </w:tc>
              <w:tc>
                <w:tcPr>
                  <w:tcW w:w="1932"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数量指标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政府采购率</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color w:val="000000"/>
                      <w:kern w:val="0"/>
                      <w:sz w:val="24"/>
                      <w:szCs w:val="24"/>
                    </w:rPr>
                    <w:t>≧90%</w:t>
                  </w:r>
                </w:p>
              </w:tc>
            </w:tr>
            <w:tr>
              <w:tblPrEx>
                <w:tblCellMar>
                  <w:top w:w="0" w:type="dxa"/>
                  <w:left w:w="108" w:type="dxa"/>
                  <w:bottom w:w="0" w:type="dxa"/>
                  <w:right w:w="108" w:type="dxa"/>
                </w:tblCellMar>
              </w:tblPrEx>
              <w:trPr>
                <w:trHeight w:val="38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保障在职人数</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35人</w:t>
                  </w:r>
                </w:p>
              </w:tc>
            </w:tr>
            <w:tr>
              <w:tblPrEx>
                <w:tblCellMar>
                  <w:top w:w="0" w:type="dxa"/>
                  <w:left w:w="108" w:type="dxa"/>
                  <w:bottom w:w="0" w:type="dxa"/>
                  <w:right w:w="108" w:type="dxa"/>
                </w:tblCellMar>
              </w:tblPrEx>
              <w:trPr>
                <w:trHeight w:val="53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restart"/>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质量指标</w:t>
                  </w: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color w:val="000000"/>
                      <w:kern w:val="0"/>
                      <w:sz w:val="24"/>
                      <w:szCs w:val="24"/>
                    </w:rPr>
                    <w:t>资金使用合规性</w:t>
                  </w:r>
                </w:p>
              </w:tc>
              <w:tc>
                <w:tcPr>
                  <w:tcW w:w="184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color w:val="000000"/>
                      <w:kern w:val="0"/>
                      <w:sz w:val="24"/>
                      <w:szCs w:val="24"/>
                    </w:rPr>
                    <w:t>100%合规</w:t>
                  </w:r>
                </w:p>
              </w:tc>
            </w:tr>
            <w:tr>
              <w:tblPrEx>
                <w:tblCellMar>
                  <w:top w:w="0" w:type="dxa"/>
                  <w:left w:w="108" w:type="dxa"/>
                  <w:bottom w:w="0" w:type="dxa"/>
                  <w:right w:w="108" w:type="dxa"/>
                </w:tblCellMar>
              </w:tblPrEx>
              <w:trPr>
                <w:trHeight w:val="392"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color w:val="000000"/>
                      <w:kern w:val="0"/>
                      <w:sz w:val="24"/>
                      <w:szCs w:val="24"/>
                    </w:rPr>
                    <w:t>政府采购、购买服务执行情况</w:t>
                  </w:r>
                </w:p>
              </w:tc>
              <w:tc>
                <w:tcPr>
                  <w:tcW w:w="184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color w:val="000000"/>
                      <w:kern w:val="0"/>
                      <w:sz w:val="24"/>
                      <w:szCs w:val="24"/>
                    </w:rPr>
                    <w:t>100%合规</w:t>
                  </w:r>
                </w:p>
              </w:tc>
            </w:tr>
            <w:tr>
              <w:tblPrEx>
                <w:tblCellMar>
                  <w:top w:w="0" w:type="dxa"/>
                  <w:left w:w="108" w:type="dxa"/>
                  <w:bottom w:w="0" w:type="dxa"/>
                  <w:right w:w="108" w:type="dxa"/>
                </w:tblCellMar>
              </w:tblPrEx>
              <w:trPr>
                <w:trHeight w:val="58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restart"/>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textAlignment w:val="center"/>
                    <w:rPr>
                      <w:rFonts w:ascii="宋体" w:hAnsi="宋体" w:eastAsia="宋体" w:cs="宋体"/>
                      <w:kern w:val="0"/>
                      <w:sz w:val="24"/>
                      <w:szCs w:val="24"/>
                    </w:rPr>
                  </w:pPr>
                  <w:r>
                    <w:rPr>
                      <w:rFonts w:hint="eastAsia" w:ascii="宋体" w:hAnsi="宋体" w:eastAsia="宋体" w:cs="宋体"/>
                      <w:kern w:val="0"/>
                      <w:sz w:val="24"/>
                      <w:szCs w:val="24"/>
                    </w:rPr>
                    <w:t>时效指标</w:t>
                  </w: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资金使用时间</w:t>
                  </w:r>
                </w:p>
              </w:tc>
              <w:tc>
                <w:tcPr>
                  <w:tcW w:w="184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2022年</w:t>
                  </w:r>
                </w:p>
              </w:tc>
            </w:tr>
            <w:tr>
              <w:tblPrEx>
                <w:tblCellMar>
                  <w:top w:w="0" w:type="dxa"/>
                  <w:left w:w="108" w:type="dxa"/>
                  <w:bottom w:w="0" w:type="dxa"/>
                  <w:right w:w="108" w:type="dxa"/>
                </w:tblCellMar>
              </w:tblPrEx>
              <w:trPr>
                <w:trHeight w:val="673"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支出进度</w:t>
                  </w:r>
                </w:p>
              </w:tc>
              <w:tc>
                <w:tcPr>
                  <w:tcW w:w="184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color w:val="000000"/>
                      <w:kern w:val="0"/>
                      <w:sz w:val="22"/>
                    </w:rPr>
                    <w:t>≧90%</w:t>
                  </w:r>
                </w:p>
              </w:tc>
            </w:tr>
            <w:tr>
              <w:tblPrEx>
                <w:tblCellMar>
                  <w:top w:w="0" w:type="dxa"/>
                  <w:left w:w="108" w:type="dxa"/>
                  <w:bottom w:w="0" w:type="dxa"/>
                  <w:right w:w="108" w:type="dxa"/>
                </w:tblCellMar>
              </w:tblPrEx>
              <w:trPr>
                <w:trHeight w:val="39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成本指标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预算执行率</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color w:val="000000"/>
                      <w:kern w:val="0"/>
                      <w:sz w:val="22"/>
                    </w:rPr>
                    <w:t>≧90%</w:t>
                  </w:r>
                </w:p>
              </w:tc>
            </w:tr>
            <w:tr>
              <w:tblPrEx>
                <w:tblCellMar>
                  <w:top w:w="0" w:type="dxa"/>
                  <w:left w:w="108" w:type="dxa"/>
                  <w:bottom w:w="0" w:type="dxa"/>
                  <w:right w:w="108" w:type="dxa"/>
                </w:tblCellMar>
              </w:tblPrEx>
              <w:trPr>
                <w:trHeight w:val="382"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预算投入资金</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≦459.54万元</w:t>
                  </w:r>
                </w:p>
              </w:tc>
            </w:tr>
            <w:tr>
              <w:tblPrEx>
                <w:tblCellMar>
                  <w:top w:w="0" w:type="dxa"/>
                  <w:left w:w="108" w:type="dxa"/>
                  <w:bottom w:w="0" w:type="dxa"/>
                  <w:right w:w="108" w:type="dxa"/>
                </w:tblCellMar>
              </w:tblPrEx>
              <w:trPr>
                <w:trHeight w:val="374"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效益指标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经济效益指标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93"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社会效益指标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业务保障能力</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right"/>
                    <w:rPr>
                      <w:rFonts w:cs="宋体" w:asciiTheme="majorEastAsia" w:hAnsiTheme="majorEastAsia" w:eastAsiaTheme="majorEastAsia"/>
                      <w:color w:val="000000"/>
                      <w:kern w:val="0"/>
                      <w:sz w:val="24"/>
                      <w:szCs w:val="24"/>
                    </w:rPr>
                  </w:pPr>
                  <w:r>
                    <w:rPr>
                      <w:rFonts w:hint="eastAsia" w:cs="宋体" w:asciiTheme="majorEastAsia" w:hAnsiTheme="majorEastAsia" w:eastAsiaTheme="majorEastAsia"/>
                      <w:color w:val="000000"/>
                      <w:kern w:val="0"/>
                      <w:sz w:val="24"/>
                      <w:szCs w:val="24"/>
                    </w:rPr>
                    <w:t>保障在职人员的工资福利支出，</w:t>
                  </w:r>
                </w:p>
                <w:p>
                  <w:pPr>
                    <w:widowControl/>
                    <w:spacing w:line="240" w:lineRule="auto"/>
                    <w:ind w:right="480"/>
                    <w:jc w:val="right"/>
                    <w:rPr>
                      <w:rFonts w:ascii="宋体" w:hAnsi="宋体" w:eastAsia="宋体" w:cs="宋体"/>
                      <w:kern w:val="0"/>
                      <w:sz w:val="24"/>
                      <w:szCs w:val="24"/>
                    </w:rPr>
                  </w:pPr>
                  <w:r>
                    <w:rPr>
                      <w:rFonts w:hint="eastAsia" w:cs="宋体" w:asciiTheme="majorEastAsia" w:hAnsiTheme="majorEastAsia" w:eastAsiaTheme="majorEastAsia"/>
                      <w:color w:val="000000"/>
                      <w:kern w:val="0"/>
                      <w:sz w:val="24"/>
                      <w:szCs w:val="24"/>
                    </w:rPr>
                    <w:t>确保工作顺利开展。</w:t>
                  </w:r>
                </w:p>
              </w:tc>
            </w:tr>
            <w:tr>
              <w:tblPrEx>
                <w:tblCellMar>
                  <w:top w:w="0" w:type="dxa"/>
                  <w:left w:w="108" w:type="dxa"/>
                  <w:bottom w:w="0" w:type="dxa"/>
                  <w:right w:w="108" w:type="dxa"/>
                </w:tblCellMar>
              </w:tblPrEx>
              <w:trPr>
                <w:trHeight w:val="38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生态效益指标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78"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可持续影响指标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51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满意度指标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服务对象满意度指标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服务对象满意度</w:t>
                  </w:r>
                </w:p>
              </w:tc>
              <w:tc>
                <w:tcPr>
                  <w:tcW w:w="18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line="240" w:lineRule="auto"/>
                    <w:jc w:val="center"/>
                    <w:rPr>
                      <w:rFonts w:ascii="宋体" w:hAnsi="宋体" w:eastAsia="宋体" w:cs="宋体"/>
                      <w:kern w:val="0"/>
                      <w:sz w:val="24"/>
                      <w:szCs w:val="24"/>
                    </w:rPr>
                  </w:pPr>
                  <w:r>
                    <w:rPr>
                      <w:rFonts w:hint="eastAsia" w:ascii="宋体" w:hAnsi="宋体" w:eastAsia="宋体" w:cs="宋体"/>
                      <w:kern w:val="0"/>
                      <w:sz w:val="24"/>
                      <w:szCs w:val="24"/>
                    </w:rPr>
                    <w:t>≧95%</w:t>
                  </w:r>
                </w:p>
              </w:tc>
            </w:tr>
          </w:tbl>
          <w:p>
            <w:pPr>
              <w:widowControl/>
              <w:spacing w:line="590" w:lineRule="exact"/>
              <w:jc w:val="center"/>
              <w:textAlignment w:val="top"/>
              <w:rPr>
                <w:rFonts w:ascii="方正小标宋简体" w:hAnsi="方正小标宋简体" w:eastAsia="方正小标宋简体" w:cs="方正小标宋简体"/>
                <w:kern w:val="0"/>
                <w:sz w:val="36"/>
                <w:szCs w:val="36"/>
              </w:rPr>
            </w:pPr>
          </w:p>
          <w:p>
            <w:pPr>
              <w:widowControl/>
              <w:spacing w:line="590" w:lineRule="exact"/>
              <w:jc w:val="center"/>
              <w:textAlignment w:val="top"/>
              <w:rPr>
                <w:rFonts w:ascii="方正小标宋简体" w:hAnsi="方正小标宋简体" w:eastAsia="方正小标宋简体" w:cs="方正小标宋简体"/>
                <w:kern w:val="0"/>
                <w:sz w:val="36"/>
                <w:szCs w:val="36"/>
              </w:rPr>
            </w:pPr>
            <w:r>
              <w:rPr>
                <w:rFonts w:hint="eastAsia" w:ascii="方正小标宋简体" w:hAnsi="方正小标宋简体" w:eastAsia="方正小标宋简体" w:cs="方正小标宋简体"/>
                <w:kern w:val="0"/>
                <w:sz w:val="36"/>
                <w:szCs w:val="36"/>
              </w:rPr>
              <w:t>防汛物资储备经费绩效目标表</w:t>
            </w:r>
          </w:p>
        </w:tc>
      </w:tr>
      <w:tr>
        <w:tblPrEx>
          <w:tblCellMar>
            <w:top w:w="0" w:type="dxa"/>
            <w:left w:w="108" w:type="dxa"/>
            <w:bottom w:w="0" w:type="dxa"/>
            <w:right w:w="108" w:type="dxa"/>
          </w:tblCellMar>
        </w:tblPrEx>
        <w:trPr>
          <w:trHeight w:val="427"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项目资金（万元）</w:t>
            </w: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left"/>
              <w:textAlignment w:val="center"/>
              <w:rPr>
                <w:rFonts w:ascii="宋体" w:hAnsi="宋体" w:eastAsia="宋体" w:cs="宋体"/>
                <w:sz w:val="24"/>
                <w:szCs w:val="24"/>
              </w:rPr>
            </w:pPr>
            <w:r>
              <w:rPr>
                <w:rFonts w:hint="eastAsia" w:ascii="宋体" w:hAnsi="宋体" w:eastAsia="宋体" w:cs="宋体"/>
                <w:kern w:val="0"/>
                <w:sz w:val="24"/>
                <w:szCs w:val="24"/>
              </w:rPr>
              <w:t xml:space="preserve">资金总额：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15</w:t>
            </w:r>
          </w:p>
        </w:tc>
      </w:tr>
      <w:tr>
        <w:tblPrEx>
          <w:tblCellMar>
            <w:top w:w="0" w:type="dxa"/>
            <w:left w:w="108" w:type="dxa"/>
            <w:bottom w:w="0" w:type="dxa"/>
            <w:right w:w="108" w:type="dxa"/>
          </w:tblCellMar>
        </w:tblPrEx>
        <w:trPr>
          <w:trHeight w:val="42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财政拨款：</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15</w:t>
            </w:r>
          </w:p>
        </w:tc>
      </w:tr>
      <w:tr>
        <w:tblPrEx>
          <w:tblCellMar>
            <w:top w:w="0" w:type="dxa"/>
            <w:left w:w="108" w:type="dxa"/>
            <w:bottom w:w="0" w:type="dxa"/>
            <w:right w:w="108" w:type="dxa"/>
          </w:tblCellMar>
        </w:tblPrEx>
        <w:trPr>
          <w:trHeight w:val="40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其他资金：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0</w:t>
            </w:r>
          </w:p>
        </w:tc>
      </w:tr>
      <w:tr>
        <w:tblPrEx>
          <w:tblCellMar>
            <w:top w:w="0" w:type="dxa"/>
            <w:left w:w="108" w:type="dxa"/>
            <w:bottom w:w="0" w:type="dxa"/>
            <w:right w:w="108" w:type="dxa"/>
          </w:tblCellMar>
        </w:tblPrEx>
        <w:trPr>
          <w:trHeight w:val="759" w:hRule="atLeast"/>
        </w:trPr>
        <w:tc>
          <w:tcPr>
            <w:tcW w:w="1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r>
              <w:rPr>
                <w:rFonts w:hint="eastAsia" w:ascii="宋体" w:hAnsi="宋体" w:eastAsia="宋体" w:cs="宋体"/>
                <w:kern w:val="0"/>
                <w:sz w:val="24"/>
                <w:szCs w:val="24"/>
              </w:rPr>
              <w:t>总体</w:t>
            </w:r>
          </w:p>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w:t>
            </w:r>
          </w:p>
        </w:tc>
        <w:tc>
          <w:tcPr>
            <w:tcW w:w="7071" w:type="dxa"/>
            <w:gridSpan w:val="4"/>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根据实际情况采购防汛物资，确保物资数量种类齐全。</w:t>
            </w:r>
          </w:p>
        </w:tc>
      </w:tr>
      <w:tr>
        <w:tblPrEx>
          <w:tblCellMar>
            <w:top w:w="0" w:type="dxa"/>
            <w:left w:w="108" w:type="dxa"/>
            <w:bottom w:w="0" w:type="dxa"/>
            <w:right w:w="108" w:type="dxa"/>
          </w:tblCellMar>
        </w:tblPrEx>
        <w:trPr>
          <w:trHeight w:val="388"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绩效目标指标   </w:t>
            </w: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一级指标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二级指标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三级指标</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目标值</w:t>
            </w:r>
          </w:p>
        </w:tc>
      </w:tr>
      <w:tr>
        <w:tblPrEx>
          <w:tblCellMar>
            <w:top w:w="0" w:type="dxa"/>
            <w:left w:w="108" w:type="dxa"/>
            <w:bottom w:w="0" w:type="dxa"/>
            <w:right w:w="108" w:type="dxa"/>
          </w:tblCellMar>
        </w:tblPrEx>
        <w:trPr>
          <w:trHeight w:val="38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产出指标</w:t>
            </w:r>
          </w:p>
        </w:tc>
        <w:tc>
          <w:tcPr>
            <w:tcW w:w="1932"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数量指标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采购雨鞋</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完成采购100双雨鞋</w:t>
            </w:r>
          </w:p>
        </w:tc>
      </w:tr>
      <w:tr>
        <w:tblPrEx>
          <w:tblCellMar>
            <w:top w:w="0" w:type="dxa"/>
            <w:left w:w="108" w:type="dxa"/>
            <w:bottom w:w="0" w:type="dxa"/>
            <w:right w:w="108" w:type="dxa"/>
          </w:tblCellMar>
        </w:tblPrEx>
        <w:trPr>
          <w:trHeight w:val="40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采购安全帽</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完成采购100个安全帽</w:t>
            </w:r>
          </w:p>
        </w:tc>
      </w:tr>
      <w:tr>
        <w:tblPrEx>
          <w:tblCellMar>
            <w:top w:w="0" w:type="dxa"/>
            <w:left w:w="108" w:type="dxa"/>
            <w:bottom w:w="0" w:type="dxa"/>
            <w:right w:w="108" w:type="dxa"/>
          </w:tblCellMar>
        </w:tblPrEx>
        <w:trPr>
          <w:trHeight w:val="698"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质量指标</w:t>
            </w:r>
          </w:p>
        </w:tc>
        <w:tc>
          <w:tcPr>
            <w:tcW w:w="1982" w:type="dxa"/>
            <w:tcBorders>
              <w:top w:val="single" w:color="000000" w:sz="4" w:space="0"/>
              <w:left w:val="single" w:color="000000" w:sz="4" w:space="0"/>
              <w:bottom w:val="single" w:color="auto"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物资质量要求</w:t>
            </w:r>
          </w:p>
        </w:tc>
        <w:tc>
          <w:tcPr>
            <w:tcW w:w="1983" w:type="dxa"/>
            <w:tcBorders>
              <w:top w:val="single" w:color="000000" w:sz="4" w:space="0"/>
              <w:left w:val="single" w:color="000000" w:sz="4" w:space="0"/>
              <w:bottom w:val="single" w:color="auto"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验收100%合格</w:t>
            </w:r>
          </w:p>
        </w:tc>
      </w:tr>
      <w:tr>
        <w:tblPrEx>
          <w:tblCellMar>
            <w:top w:w="0" w:type="dxa"/>
            <w:left w:w="108" w:type="dxa"/>
            <w:bottom w:w="0" w:type="dxa"/>
            <w:right w:w="108" w:type="dxa"/>
          </w:tblCellMar>
        </w:tblPrEx>
        <w:trPr>
          <w:trHeight w:val="542"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时效指标</w:t>
            </w:r>
          </w:p>
        </w:tc>
        <w:tc>
          <w:tcPr>
            <w:tcW w:w="1982" w:type="dxa"/>
            <w:tcBorders>
              <w:top w:val="single" w:color="auto"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资金支出进度</w:t>
            </w:r>
          </w:p>
        </w:tc>
        <w:tc>
          <w:tcPr>
            <w:tcW w:w="1983" w:type="dxa"/>
            <w:tcBorders>
              <w:top w:val="single" w:color="auto"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&gt;90%</w:t>
            </w:r>
          </w:p>
        </w:tc>
      </w:tr>
      <w:tr>
        <w:tblPrEx>
          <w:tblCellMar>
            <w:top w:w="0" w:type="dxa"/>
            <w:left w:w="108" w:type="dxa"/>
            <w:bottom w:w="0" w:type="dxa"/>
            <w:right w:w="108" w:type="dxa"/>
          </w:tblCellMar>
        </w:tblPrEx>
        <w:trPr>
          <w:trHeight w:val="538"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成本指标</w:t>
            </w: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投入资金</w:t>
            </w:r>
          </w:p>
        </w:tc>
        <w:tc>
          <w:tcPr>
            <w:tcW w:w="198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不超过15万元</w:t>
            </w:r>
          </w:p>
        </w:tc>
      </w:tr>
      <w:tr>
        <w:tblPrEx>
          <w:tblCellMar>
            <w:top w:w="0" w:type="dxa"/>
            <w:left w:w="108" w:type="dxa"/>
            <w:bottom w:w="0" w:type="dxa"/>
            <w:right w:w="108" w:type="dxa"/>
          </w:tblCellMar>
        </w:tblPrEx>
        <w:trPr>
          <w:trHeight w:val="374"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效益指标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经济效益指标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93"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社会效益指标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防汛应急保障能力</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能够及时发放防汛应急物资</w:t>
            </w:r>
          </w:p>
        </w:tc>
      </w:tr>
      <w:tr>
        <w:tblPrEx>
          <w:tblCellMar>
            <w:top w:w="0" w:type="dxa"/>
            <w:left w:w="108" w:type="dxa"/>
            <w:bottom w:w="0" w:type="dxa"/>
            <w:right w:w="108" w:type="dxa"/>
          </w:tblCellMar>
        </w:tblPrEx>
        <w:trPr>
          <w:trHeight w:val="38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生态效益指标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78"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可持续影响指标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51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满意度指标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服务对象满意度指标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采购单位满意度</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&gt;95%</w:t>
            </w:r>
          </w:p>
        </w:tc>
      </w:tr>
      <w:tr>
        <w:tblPrEx>
          <w:tblCellMar>
            <w:top w:w="0" w:type="dxa"/>
            <w:left w:w="108" w:type="dxa"/>
            <w:bottom w:w="0" w:type="dxa"/>
            <w:right w:w="108" w:type="dxa"/>
          </w:tblCellMar>
        </w:tblPrEx>
        <w:trPr>
          <w:trHeight w:val="615" w:hRule="atLeast"/>
        </w:trPr>
        <w:tc>
          <w:tcPr>
            <w:tcW w:w="8220" w:type="dxa"/>
            <w:gridSpan w:val="5"/>
            <w:tcBorders>
              <w:top w:val="nil"/>
              <w:left w:val="nil"/>
              <w:bottom w:val="single" w:color="000000" w:sz="4" w:space="0"/>
              <w:right w:val="nil"/>
            </w:tcBorders>
            <w:tcMar>
              <w:top w:w="15" w:type="dxa"/>
              <w:left w:w="15" w:type="dxa"/>
              <w:bottom w:w="15" w:type="dxa"/>
              <w:right w:w="15" w:type="dxa"/>
            </w:tcMar>
          </w:tcPr>
          <w:p>
            <w:pPr>
              <w:widowControl/>
              <w:spacing w:line="590" w:lineRule="exact"/>
              <w:jc w:val="center"/>
              <w:textAlignment w:val="top"/>
              <w:rPr>
                <w:rFonts w:ascii="方正小标宋简体" w:hAnsi="方正小标宋简体" w:eastAsia="方正小标宋简体" w:cs="方正小标宋简体"/>
                <w:kern w:val="0"/>
                <w:sz w:val="36"/>
                <w:szCs w:val="36"/>
              </w:rPr>
            </w:pPr>
          </w:p>
          <w:p>
            <w:pPr>
              <w:widowControl/>
              <w:spacing w:line="590" w:lineRule="exact"/>
              <w:jc w:val="center"/>
              <w:textAlignment w:val="top"/>
              <w:rPr>
                <w:rFonts w:ascii="方正小标宋简体" w:hAnsi="方正小标宋简体" w:eastAsia="方正小标宋简体" w:cs="方正小标宋简体"/>
                <w:kern w:val="0"/>
                <w:sz w:val="36"/>
                <w:szCs w:val="36"/>
              </w:rPr>
            </w:pPr>
            <w:r>
              <w:rPr>
                <w:rFonts w:hint="eastAsia" w:ascii="方正小标宋简体" w:hAnsi="方正小标宋简体" w:eastAsia="方正小标宋简体" w:cs="方正小标宋简体"/>
                <w:kern w:val="0"/>
                <w:sz w:val="36"/>
                <w:szCs w:val="36"/>
              </w:rPr>
              <w:t>防汛特种车辆运行经费绩效目标表</w:t>
            </w:r>
          </w:p>
        </w:tc>
      </w:tr>
      <w:tr>
        <w:tblPrEx>
          <w:tblCellMar>
            <w:top w:w="0" w:type="dxa"/>
            <w:left w:w="108" w:type="dxa"/>
            <w:bottom w:w="0" w:type="dxa"/>
            <w:right w:w="108" w:type="dxa"/>
          </w:tblCellMar>
        </w:tblPrEx>
        <w:trPr>
          <w:trHeight w:val="427"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项目资金（万元）</w:t>
            </w: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left"/>
              <w:textAlignment w:val="center"/>
              <w:rPr>
                <w:rFonts w:ascii="宋体" w:hAnsi="宋体" w:eastAsia="宋体" w:cs="宋体"/>
                <w:sz w:val="24"/>
                <w:szCs w:val="24"/>
              </w:rPr>
            </w:pPr>
            <w:r>
              <w:rPr>
                <w:rFonts w:hint="eastAsia" w:ascii="宋体" w:hAnsi="宋体" w:eastAsia="宋体" w:cs="宋体"/>
                <w:kern w:val="0"/>
                <w:sz w:val="24"/>
                <w:szCs w:val="24"/>
              </w:rPr>
              <w:t xml:space="preserve">资金总额：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15</w:t>
            </w:r>
          </w:p>
        </w:tc>
      </w:tr>
      <w:tr>
        <w:tblPrEx>
          <w:tblCellMar>
            <w:top w:w="0" w:type="dxa"/>
            <w:left w:w="108" w:type="dxa"/>
            <w:bottom w:w="0" w:type="dxa"/>
            <w:right w:w="108" w:type="dxa"/>
          </w:tblCellMar>
        </w:tblPrEx>
        <w:trPr>
          <w:trHeight w:val="42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财政拨款：</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15</w:t>
            </w:r>
          </w:p>
        </w:tc>
      </w:tr>
      <w:tr>
        <w:tblPrEx>
          <w:tblCellMar>
            <w:top w:w="0" w:type="dxa"/>
            <w:left w:w="108" w:type="dxa"/>
            <w:bottom w:w="0" w:type="dxa"/>
            <w:right w:w="108" w:type="dxa"/>
          </w:tblCellMar>
        </w:tblPrEx>
        <w:trPr>
          <w:trHeight w:val="40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其他资金：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0</w:t>
            </w:r>
          </w:p>
        </w:tc>
      </w:tr>
      <w:tr>
        <w:tblPrEx>
          <w:tblCellMar>
            <w:top w:w="0" w:type="dxa"/>
            <w:left w:w="108" w:type="dxa"/>
            <w:bottom w:w="0" w:type="dxa"/>
            <w:right w:w="108" w:type="dxa"/>
          </w:tblCellMar>
        </w:tblPrEx>
        <w:trPr>
          <w:trHeight w:val="759" w:hRule="atLeast"/>
        </w:trPr>
        <w:tc>
          <w:tcPr>
            <w:tcW w:w="1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r>
              <w:rPr>
                <w:rFonts w:hint="eastAsia" w:ascii="宋体" w:hAnsi="宋体" w:eastAsia="宋体" w:cs="宋体"/>
                <w:kern w:val="0"/>
                <w:sz w:val="24"/>
                <w:szCs w:val="24"/>
              </w:rPr>
              <w:t>总体</w:t>
            </w:r>
          </w:p>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w:t>
            </w:r>
          </w:p>
        </w:tc>
        <w:tc>
          <w:tcPr>
            <w:tcW w:w="7071" w:type="dxa"/>
            <w:gridSpan w:val="4"/>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确保防汛特种车辆正常使用，在防汛工作中发挥应有的作用。</w:t>
            </w:r>
          </w:p>
        </w:tc>
      </w:tr>
      <w:tr>
        <w:tblPrEx>
          <w:tblCellMar>
            <w:top w:w="0" w:type="dxa"/>
            <w:left w:w="108" w:type="dxa"/>
            <w:bottom w:w="0" w:type="dxa"/>
            <w:right w:w="108" w:type="dxa"/>
          </w:tblCellMar>
        </w:tblPrEx>
        <w:trPr>
          <w:trHeight w:val="388"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绩效目标指标   </w:t>
            </w: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一级指标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二级指标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三级指标</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目标值</w:t>
            </w:r>
          </w:p>
        </w:tc>
      </w:tr>
      <w:tr>
        <w:tblPrEx>
          <w:tblCellMar>
            <w:top w:w="0" w:type="dxa"/>
            <w:left w:w="108" w:type="dxa"/>
            <w:bottom w:w="0" w:type="dxa"/>
            <w:right w:w="108" w:type="dxa"/>
          </w:tblCellMar>
        </w:tblPrEx>
        <w:trPr>
          <w:trHeight w:val="38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产出指标</w:t>
            </w:r>
          </w:p>
        </w:tc>
        <w:tc>
          <w:tcPr>
            <w:tcW w:w="1932"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数量指标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驾驶员</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1名</w:t>
            </w:r>
          </w:p>
        </w:tc>
      </w:tr>
      <w:tr>
        <w:tblPrEx>
          <w:tblCellMar>
            <w:top w:w="0" w:type="dxa"/>
            <w:left w:w="108" w:type="dxa"/>
            <w:bottom w:w="0" w:type="dxa"/>
            <w:right w:w="108" w:type="dxa"/>
          </w:tblCellMar>
        </w:tblPrEx>
        <w:trPr>
          <w:trHeight w:val="40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防汛特种车辆</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1辆</w:t>
            </w:r>
          </w:p>
        </w:tc>
      </w:tr>
      <w:tr>
        <w:tblPrEx>
          <w:tblCellMar>
            <w:top w:w="0" w:type="dxa"/>
            <w:left w:w="108" w:type="dxa"/>
            <w:bottom w:w="0" w:type="dxa"/>
            <w:right w:w="108" w:type="dxa"/>
          </w:tblCellMar>
        </w:tblPrEx>
        <w:trPr>
          <w:trHeight w:val="39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质量指标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车辆正常运行</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车辆能够及时检修，全年正常运行</w:t>
            </w:r>
          </w:p>
        </w:tc>
      </w:tr>
      <w:tr>
        <w:tblPrEx>
          <w:tblCellMar>
            <w:top w:w="0" w:type="dxa"/>
            <w:left w:w="108" w:type="dxa"/>
            <w:bottom w:w="0" w:type="dxa"/>
            <w:right w:w="108" w:type="dxa"/>
          </w:tblCellMar>
        </w:tblPrEx>
        <w:trPr>
          <w:trHeight w:val="40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驾驶员工资福利</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驾驶员的工资福利正常发放</w:t>
            </w:r>
          </w:p>
        </w:tc>
      </w:tr>
      <w:tr>
        <w:tblPrEx>
          <w:tblCellMar>
            <w:top w:w="0" w:type="dxa"/>
            <w:left w:w="108" w:type="dxa"/>
            <w:bottom w:w="0" w:type="dxa"/>
            <w:right w:w="108" w:type="dxa"/>
          </w:tblCellMar>
        </w:tblPrEx>
        <w:trPr>
          <w:trHeight w:val="817"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时效指标</w:t>
            </w: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资金支出进度</w:t>
            </w:r>
          </w:p>
        </w:tc>
        <w:tc>
          <w:tcPr>
            <w:tcW w:w="198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&gt;90%</w:t>
            </w:r>
          </w:p>
        </w:tc>
      </w:tr>
      <w:tr>
        <w:tblPrEx>
          <w:tblCellMar>
            <w:top w:w="0" w:type="dxa"/>
            <w:left w:w="108" w:type="dxa"/>
            <w:bottom w:w="0" w:type="dxa"/>
            <w:right w:w="108" w:type="dxa"/>
          </w:tblCellMar>
        </w:tblPrEx>
        <w:trPr>
          <w:trHeight w:val="812"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成本指标</w:t>
            </w: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投入资金</w:t>
            </w:r>
          </w:p>
        </w:tc>
        <w:tc>
          <w:tcPr>
            <w:tcW w:w="198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不超过15万元</w:t>
            </w:r>
          </w:p>
        </w:tc>
      </w:tr>
      <w:tr>
        <w:tblPrEx>
          <w:tblCellMar>
            <w:top w:w="0" w:type="dxa"/>
            <w:left w:w="108" w:type="dxa"/>
            <w:bottom w:w="0" w:type="dxa"/>
            <w:right w:w="108" w:type="dxa"/>
          </w:tblCellMar>
        </w:tblPrEx>
        <w:trPr>
          <w:trHeight w:val="374"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效益指标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经济效益指标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93"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社会效益指标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车辆应急排水情况</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安全度汛</w:t>
            </w:r>
          </w:p>
        </w:tc>
      </w:tr>
      <w:tr>
        <w:tblPrEx>
          <w:tblCellMar>
            <w:top w:w="0" w:type="dxa"/>
            <w:left w:w="108" w:type="dxa"/>
            <w:bottom w:w="0" w:type="dxa"/>
            <w:right w:w="108" w:type="dxa"/>
          </w:tblCellMar>
        </w:tblPrEx>
        <w:trPr>
          <w:trHeight w:val="38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生态效益指标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78"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可持续影响指标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51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满意度指标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服务对象满意度指标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群众满意度</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&gt;95%</w:t>
            </w:r>
          </w:p>
        </w:tc>
      </w:tr>
    </w:tbl>
    <w:p>
      <w:pPr>
        <w:spacing w:line="590" w:lineRule="exact"/>
        <w:ind w:firstLine="640" w:firstLineChars="200"/>
        <w:rPr>
          <w:rFonts w:ascii="楷体" w:hAnsi="楷体" w:eastAsia="楷体" w:cs="楷体"/>
          <w:kern w:val="0"/>
          <w:sz w:val="32"/>
          <w:szCs w:val="32"/>
        </w:rPr>
      </w:pPr>
    </w:p>
    <w:tbl>
      <w:tblPr>
        <w:tblStyle w:val="6"/>
        <w:tblW w:w="8220" w:type="dxa"/>
        <w:tblInd w:w="0" w:type="dxa"/>
        <w:tblLayout w:type="fixed"/>
        <w:tblCellMar>
          <w:top w:w="0" w:type="dxa"/>
          <w:left w:w="108" w:type="dxa"/>
          <w:bottom w:w="0" w:type="dxa"/>
          <w:right w:w="108" w:type="dxa"/>
        </w:tblCellMar>
      </w:tblPr>
      <w:tblGrid>
        <w:gridCol w:w="1149"/>
        <w:gridCol w:w="1174"/>
        <w:gridCol w:w="1932"/>
        <w:gridCol w:w="1982"/>
        <w:gridCol w:w="1983"/>
      </w:tblGrid>
      <w:tr>
        <w:tblPrEx>
          <w:tblCellMar>
            <w:top w:w="0" w:type="dxa"/>
            <w:left w:w="108" w:type="dxa"/>
            <w:bottom w:w="0" w:type="dxa"/>
            <w:right w:w="108" w:type="dxa"/>
          </w:tblCellMar>
        </w:tblPrEx>
        <w:trPr>
          <w:trHeight w:val="615" w:hRule="atLeast"/>
        </w:trPr>
        <w:tc>
          <w:tcPr>
            <w:tcW w:w="8220" w:type="dxa"/>
            <w:gridSpan w:val="5"/>
            <w:tcBorders>
              <w:top w:val="nil"/>
              <w:left w:val="nil"/>
              <w:bottom w:val="single" w:color="000000" w:sz="4" w:space="0"/>
              <w:right w:val="nil"/>
            </w:tcBorders>
            <w:tcMar>
              <w:top w:w="15" w:type="dxa"/>
              <w:left w:w="15" w:type="dxa"/>
              <w:bottom w:w="15" w:type="dxa"/>
              <w:right w:w="15" w:type="dxa"/>
            </w:tcMar>
          </w:tcPr>
          <w:p>
            <w:pPr>
              <w:widowControl/>
              <w:spacing w:line="590" w:lineRule="exact"/>
              <w:jc w:val="center"/>
              <w:textAlignment w:val="top"/>
              <w:rPr>
                <w:rFonts w:ascii="方正小标宋简体" w:hAnsi="方正小标宋简体" w:eastAsia="方正小标宋简体" w:cs="方正小标宋简体"/>
                <w:kern w:val="0"/>
                <w:sz w:val="36"/>
                <w:szCs w:val="36"/>
              </w:rPr>
            </w:pPr>
            <w:r>
              <w:rPr>
                <w:rFonts w:hint="eastAsia" w:ascii="方正小标宋简体" w:hAnsi="方正小标宋简体" w:eastAsia="方正小标宋简体" w:cs="方正小标宋简体"/>
                <w:kern w:val="0"/>
                <w:sz w:val="36"/>
                <w:szCs w:val="36"/>
              </w:rPr>
              <w:t>防汛专项业务费绩效目标表</w:t>
            </w:r>
          </w:p>
        </w:tc>
      </w:tr>
      <w:tr>
        <w:tblPrEx>
          <w:tblCellMar>
            <w:top w:w="0" w:type="dxa"/>
            <w:left w:w="108" w:type="dxa"/>
            <w:bottom w:w="0" w:type="dxa"/>
            <w:right w:w="108" w:type="dxa"/>
          </w:tblCellMar>
        </w:tblPrEx>
        <w:trPr>
          <w:trHeight w:val="427"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项目资金（万元）</w:t>
            </w: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left"/>
              <w:textAlignment w:val="center"/>
              <w:rPr>
                <w:rFonts w:ascii="宋体" w:hAnsi="宋体" w:eastAsia="宋体" w:cs="宋体"/>
                <w:sz w:val="24"/>
                <w:szCs w:val="24"/>
              </w:rPr>
            </w:pPr>
            <w:r>
              <w:rPr>
                <w:rFonts w:hint="eastAsia" w:ascii="宋体" w:hAnsi="宋体" w:eastAsia="宋体" w:cs="宋体"/>
                <w:kern w:val="0"/>
                <w:sz w:val="24"/>
                <w:szCs w:val="24"/>
              </w:rPr>
              <w:t xml:space="preserve">资金总额：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28</w:t>
            </w:r>
          </w:p>
        </w:tc>
      </w:tr>
      <w:tr>
        <w:tblPrEx>
          <w:tblCellMar>
            <w:top w:w="0" w:type="dxa"/>
            <w:left w:w="108" w:type="dxa"/>
            <w:bottom w:w="0" w:type="dxa"/>
            <w:right w:w="108" w:type="dxa"/>
          </w:tblCellMar>
        </w:tblPrEx>
        <w:trPr>
          <w:trHeight w:val="42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财政拨款：</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28</w:t>
            </w:r>
          </w:p>
        </w:tc>
      </w:tr>
      <w:tr>
        <w:tblPrEx>
          <w:tblCellMar>
            <w:top w:w="0" w:type="dxa"/>
            <w:left w:w="108" w:type="dxa"/>
            <w:bottom w:w="0" w:type="dxa"/>
            <w:right w:w="108" w:type="dxa"/>
          </w:tblCellMar>
        </w:tblPrEx>
        <w:trPr>
          <w:trHeight w:val="40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其他资金：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0</w:t>
            </w:r>
          </w:p>
        </w:tc>
      </w:tr>
      <w:tr>
        <w:tblPrEx>
          <w:tblCellMar>
            <w:top w:w="0" w:type="dxa"/>
            <w:left w:w="108" w:type="dxa"/>
            <w:bottom w:w="0" w:type="dxa"/>
            <w:right w:w="108" w:type="dxa"/>
          </w:tblCellMar>
        </w:tblPrEx>
        <w:trPr>
          <w:trHeight w:val="759" w:hRule="atLeast"/>
        </w:trPr>
        <w:tc>
          <w:tcPr>
            <w:tcW w:w="1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r>
              <w:rPr>
                <w:rFonts w:hint="eastAsia" w:ascii="宋体" w:hAnsi="宋体" w:eastAsia="宋体" w:cs="宋体"/>
                <w:kern w:val="0"/>
                <w:sz w:val="24"/>
                <w:szCs w:val="24"/>
              </w:rPr>
              <w:t>总体</w:t>
            </w:r>
          </w:p>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w:t>
            </w:r>
          </w:p>
        </w:tc>
        <w:tc>
          <w:tcPr>
            <w:tcW w:w="7071" w:type="dxa"/>
            <w:gridSpan w:val="4"/>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保证水位、雨量站点运行维护、防汛演练、防汛值班等，</w:t>
            </w:r>
          </w:p>
          <w:p>
            <w:pPr>
              <w:jc w:val="center"/>
              <w:rPr>
                <w:rFonts w:ascii="宋体" w:hAnsi="宋体" w:eastAsia="宋体" w:cs="宋体"/>
                <w:sz w:val="24"/>
                <w:szCs w:val="24"/>
              </w:rPr>
            </w:pPr>
            <w:r>
              <w:rPr>
                <w:rFonts w:hint="eastAsia" w:ascii="宋体" w:hAnsi="宋体" w:eastAsia="宋体" w:cs="宋体"/>
                <w:sz w:val="24"/>
                <w:szCs w:val="24"/>
              </w:rPr>
              <w:t>确保安全度汛。</w:t>
            </w:r>
          </w:p>
        </w:tc>
      </w:tr>
      <w:tr>
        <w:tblPrEx>
          <w:tblCellMar>
            <w:top w:w="0" w:type="dxa"/>
            <w:left w:w="108" w:type="dxa"/>
            <w:bottom w:w="0" w:type="dxa"/>
            <w:right w:w="108" w:type="dxa"/>
          </w:tblCellMar>
        </w:tblPrEx>
        <w:trPr>
          <w:trHeight w:val="388"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绩效目标指标   </w:t>
            </w: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一级指标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二级指标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三级指标</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目标值</w:t>
            </w:r>
          </w:p>
        </w:tc>
      </w:tr>
      <w:tr>
        <w:tblPrEx>
          <w:tblCellMar>
            <w:top w:w="0" w:type="dxa"/>
            <w:left w:w="108" w:type="dxa"/>
            <w:bottom w:w="0" w:type="dxa"/>
            <w:right w:w="108" w:type="dxa"/>
          </w:tblCellMar>
        </w:tblPrEx>
        <w:trPr>
          <w:trHeight w:val="38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产出指标</w:t>
            </w:r>
          </w:p>
        </w:tc>
        <w:tc>
          <w:tcPr>
            <w:tcW w:w="1932"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数量指标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举办防汛指挥长培训班</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完成1次指挥长培训班</w:t>
            </w:r>
          </w:p>
        </w:tc>
      </w:tr>
      <w:tr>
        <w:tblPrEx>
          <w:tblCellMar>
            <w:top w:w="0" w:type="dxa"/>
            <w:left w:w="108" w:type="dxa"/>
            <w:bottom w:w="0" w:type="dxa"/>
            <w:right w:w="108" w:type="dxa"/>
          </w:tblCellMar>
        </w:tblPrEx>
        <w:trPr>
          <w:trHeight w:val="38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举办防汛防台风应急演练</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完成1次防汛防台风应急演练</w:t>
            </w:r>
          </w:p>
        </w:tc>
      </w:tr>
      <w:tr>
        <w:tblPrEx>
          <w:tblCellMar>
            <w:top w:w="0" w:type="dxa"/>
            <w:left w:w="108" w:type="dxa"/>
            <w:bottom w:w="0" w:type="dxa"/>
            <w:right w:w="108" w:type="dxa"/>
          </w:tblCellMar>
        </w:tblPrEx>
        <w:trPr>
          <w:trHeight w:val="132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restart"/>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质量指标</w:t>
            </w: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提升公众防汛知识普及率和自救互救能力</w:t>
            </w:r>
          </w:p>
        </w:tc>
        <w:tc>
          <w:tcPr>
            <w:tcW w:w="198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提升公众防汛知识及应急能力在95%以上</w:t>
            </w:r>
          </w:p>
        </w:tc>
      </w:tr>
      <w:tr>
        <w:tblPrEx>
          <w:tblCellMar>
            <w:top w:w="0" w:type="dxa"/>
            <w:left w:w="108" w:type="dxa"/>
            <w:bottom w:w="0" w:type="dxa"/>
            <w:right w:w="108" w:type="dxa"/>
          </w:tblCellMar>
        </w:tblPrEx>
        <w:trPr>
          <w:trHeight w:val="87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站点的通信</w:t>
            </w:r>
          </w:p>
        </w:tc>
        <w:tc>
          <w:tcPr>
            <w:tcW w:w="198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保障站点的网络通信畅通</w:t>
            </w:r>
          </w:p>
        </w:tc>
      </w:tr>
      <w:tr>
        <w:tblPrEx>
          <w:tblCellMar>
            <w:top w:w="0" w:type="dxa"/>
            <w:left w:w="108" w:type="dxa"/>
            <w:bottom w:w="0" w:type="dxa"/>
            <w:right w:w="108" w:type="dxa"/>
          </w:tblCellMar>
        </w:tblPrEx>
        <w:trPr>
          <w:trHeight w:val="817"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时效指标</w:t>
            </w:r>
          </w:p>
        </w:tc>
        <w:tc>
          <w:tcPr>
            <w:tcW w:w="198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资金支出进度</w:t>
            </w:r>
          </w:p>
        </w:tc>
        <w:tc>
          <w:tcPr>
            <w:tcW w:w="198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&gt;90%</w:t>
            </w:r>
          </w:p>
        </w:tc>
      </w:tr>
      <w:tr>
        <w:tblPrEx>
          <w:tblCellMar>
            <w:top w:w="0" w:type="dxa"/>
            <w:left w:w="108" w:type="dxa"/>
            <w:bottom w:w="0" w:type="dxa"/>
            <w:right w:w="108" w:type="dxa"/>
          </w:tblCellMar>
        </w:tblPrEx>
        <w:trPr>
          <w:trHeight w:val="39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成本指标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投入资金</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不超过28万元</w:t>
            </w:r>
          </w:p>
        </w:tc>
      </w:tr>
      <w:tr>
        <w:tblPrEx>
          <w:tblCellMar>
            <w:top w:w="0" w:type="dxa"/>
            <w:left w:w="108" w:type="dxa"/>
            <w:bottom w:w="0" w:type="dxa"/>
            <w:right w:w="108" w:type="dxa"/>
          </w:tblCellMar>
        </w:tblPrEx>
        <w:trPr>
          <w:trHeight w:val="382"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74"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效益指标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经济效益指标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93"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社会效益指标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全面提升全区抵御台风的综合防汛能力</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确保全区安全度汛</w:t>
            </w:r>
          </w:p>
        </w:tc>
      </w:tr>
      <w:tr>
        <w:tblPrEx>
          <w:tblCellMar>
            <w:top w:w="0" w:type="dxa"/>
            <w:left w:w="108" w:type="dxa"/>
            <w:bottom w:w="0" w:type="dxa"/>
            <w:right w:w="108" w:type="dxa"/>
          </w:tblCellMar>
        </w:tblPrEx>
        <w:trPr>
          <w:trHeight w:val="38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生态效益指标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78"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可持续影响指标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51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满意度指标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服务对象满意度指标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群众满意度情况</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&gt;95%</w:t>
            </w:r>
          </w:p>
        </w:tc>
      </w:tr>
    </w:tbl>
    <w:p>
      <w:pPr>
        <w:spacing w:line="590" w:lineRule="exact"/>
        <w:ind w:firstLine="640" w:firstLineChars="200"/>
        <w:rPr>
          <w:rFonts w:ascii="楷体" w:hAnsi="楷体" w:eastAsia="楷体" w:cs="楷体"/>
          <w:kern w:val="0"/>
          <w:sz w:val="32"/>
          <w:szCs w:val="32"/>
        </w:rPr>
      </w:pPr>
    </w:p>
    <w:tbl>
      <w:tblPr>
        <w:tblStyle w:val="6"/>
        <w:tblW w:w="8220" w:type="dxa"/>
        <w:tblInd w:w="0" w:type="dxa"/>
        <w:tblLayout w:type="fixed"/>
        <w:tblCellMar>
          <w:top w:w="0" w:type="dxa"/>
          <w:left w:w="108" w:type="dxa"/>
          <w:bottom w:w="0" w:type="dxa"/>
          <w:right w:w="108" w:type="dxa"/>
        </w:tblCellMar>
      </w:tblPr>
      <w:tblGrid>
        <w:gridCol w:w="1149"/>
        <w:gridCol w:w="1174"/>
        <w:gridCol w:w="1932"/>
        <w:gridCol w:w="1982"/>
        <w:gridCol w:w="1983"/>
      </w:tblGrid>
      <w:tr>
        <w:tblPrEx>
          <w:tblCellMar>
            <w:top w:w="0" w:type="dxa"/>
            <w:left w:w="108" w:type="dxa"/>
            <w:bottom w:w="0" w:type="dxa"/>
            <w:right w:w="108" w:type="dxa"/>
          </w:tblCellMar>
        </w:tblPrEx>
        <w:trPr>
          <w:trHeight w:val="615" w:hRule="atLeast"/>
        </w:trPr>
        <w:tc>
          <w:tcPr>
            <w:tcW w:w="8220" w:type="dxa"/>
            <w:gridSpan w:val="5"/>
            <w:tcBorders>
              <w:top w:val="nil"/>
              <w:left w:val="nil"/>
              <w:bottom w:val="single" w:color="000000" w:sz="4" w:space="0"/>
              <w:right w:val="nil"/>
            </w:tcBorders>
            <w:tcMar>
              <w:top w:w="15" w:type="dxa"/>
              <w:left w:w="15" w:type="dxa"/>
              <w:bottom w:w="15" w:type="dxa"/>
              <w:right w:w="15" w:type="dxa"/>
            </w:tcMar>
          </w:tcPr>
          <w:p>
            <w:pPr>
              <w:widowControl/>
              <w:spacing w:line="590" w:lineRule="exact"/>
              <w:jc w:val="center"/>
              <w:textAlignment w:val="top"/>
              <w:rPr>
                <w:rFonts w:ascii="方正小标宋简体" w:hAnsi="方正小标宋简体" w:eastAsia="方正小标宋简体" w:cs="方正小标宋简体"/>
                <w:kern w:val="0"/>
                <w:sz w:val="36"/>
                <w:szCs w:val="36"/>
              </w:rPr>
            </w:pPr>
            <w:r>
              <w:rPr>
                <w:rFonts w:hint="eastAsia" w:ascii="方正小标宋简体" w:hAnsi="方正小标宋简体" w:eastAsia="方正小标宋简体" w:cs="方正小标宋简体"/>
                <w:kern w:val="0"/>
                <w:sz w:val="36"/>
                <w:szCs w:val="36"/>
              </w:rPr>
              <w:t>专项业务费（办公设备购置）绩效目标表</w:t>
            </w:r>
          </w:p>
        </w:tc>
      </w:tr>
      <w:tr>
        <w:tblPrEx>
          <w:tblCellMar>
            <w:top w:w="0" w:type="dxa"/>
            <w:left w:w="108" w:type="dxa"/>
            <w:bottom w:w="0" w:type="dxa"/>
            <w:right w:w="108" w:type="dxa"/>
          </w:tblCellMar>
        </w:tblPrEx>
        <w:trPr>
          <w:trHeight w:val="427"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项目资金（万元）</w:t>
            </w: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left"/>
              <w:textAlignment w:val="center"/>
              <w:rPr>
                <w:rFonts w:ascii="宋体" w:hAnsi="宋体" w:eastAsia="宋体" w:cs="宋体"/>
                <w:sz w:val="24"/>
                <w:szCs w:val="24"/>
              </w:rPr>
            </w:pPr>
            <w:r>
              <w:rPr>
                <w:rFonts w:hint="eastAsia" w:ascii="宋体" w:hAnsi="宋体" w:eastAsia="宋体" w:cs="宋体"/>
                <w:kern w:val="0"/>
                <w:sz w:val="24"/>
                <w:szCs w:val="24"/>
              </w:rPr>
              <w:t xml:space="preserve">资金总额：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3.91</w:t>
            </w:r>
          </w:p>
        </w:tc>
      </w:tr>
      <w:tr>
        <w:tblPrEx>
          <w:tblCellMar>
            <w:top w:w="0" w:type="dxa"/>
            <w:left w:w="108" w:type="dxa"/>
            <w:bottom w:w="0" w:type="dxa"/>
            <w:right w:w="108" w:type="dxa"/>
          </w:tblCellMar>
        </w:tblPrEx>
        <w:trPr>
          <w:trHeight w:val="42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财政拨款：</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3.91</w:t>
            </w:r>
          </w:p>
        </w:tc>
      </w:tr>
      <w:tr>
        <w:tblPrEx>
          <w:tblCellMar>
            <w:top w:w="0" w:type="dxa"/>
            <w:left w:w="108" w:type="dxa"/>
            <w:bottom w:w="0" w:type="dxa"/>
            <w:right w:w="108" w:type="dxa"/>
          </w:tblCellMar>
        </w:tblPrEx>
        <w:trPr>
          <w:trHeight w:val="40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其他资金：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0</w:t>
            </w:r>
          </w:p>
        </w:tc>
      </w:tr>
      <w:tr>
        <w:tblPrEx>
          <w:tblCellMar>
            <w:top w:w="0" w:type="dxa"/>
            <w:left w:w="108" w:type="dxa"/>
            <w:bottom w:w="0" w:type="dxa"/>
            <w:right w:w="108" w:type="dxa"/>
          </w:tblCellMar>
        </w:tblPrEx>
        <w:trPr>
          <w:trHeight w:val="759" w:hRule="atLeast"/>
        </w:trPr>
        <w:tc>
          <w:tcPr>
            <w:tcW w:w="1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r>
              <w:rPr>
                <w:rFonts w:hint="eastAsia" w:ascii="宋体" w:hAnsi="宋体" w:eastAsia="宋体" w:cs="宋体"/>
                <w:kern w:val="0"/>
                <w:sz w:val="24"/>
                <w:szCs w:val="24"/>
              </w:rPr>
              <w:t>总体</w:t>
            </w:r>
          </w:p>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w:t>
            </w:r>
          </w:p>
        </w:tc>
        <w:tc>
          <w:tcPr>
            <w:tcW w:w="7071" w:type="dxa"/>
            <w:gridSpan w:val="4"/>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根据实际情况采购办公设备，提高办公效率。</w:t>
            </w:r>
          </w:p>
        </w:tc>
      </w:tr>
      <w:tr>
        <w:tblPrEx>
          <w:tblCellMar>
            <w:top w:w="0" w:type="dxa"/>
            <w:left w:w="108" w:type="dxa"/>
            <w:bottom w:w="0" w:type="dxa"/>
            <w:right w:w="108" w:type="dxa"/>
          </w:tblCellMar>
        </w:tblPrEx>
        <w:trPr>
          <w:trHeight w:val="388"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绩效目标指标   </w:t>
            </w: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一级指标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二级指标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三级指标</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目标值</w:t>
            </w:r>
          </w:p>
        </w:tc>
      </w:tr>
      <w:tr>
        <w:tblPrEx>
          <w:tblCellMar>
            <w:top w:w="0" w:type="dxa"/>
            <w:left w:w="108" w:type="dxa"/>
            <w:bottom w:w="0" w:type="dxa"/>
            <w:right w:w="108" w:type="dxa"/>
          </w:tblCellMar>
        </w:tblPrEx>
        <w:trPr>
          <w:trHeight w:val="38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产出指标</w:t>
            </w:r>
          </w:p>
        </w:tc>
        <w:tc>
          <w:tcPr>
            <w:tcW w:w="1932"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数量指标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购买彩色打印机</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完成购买1台彩色打印机</w:t>
            </w:r>
          </w:p>
        </w:tc>
      </w:tr>
      <w:tr>
        <w:tblPrEx>
          <w:tblCellMar>
            <w:top w:w="0" w:type="dxa"/>
            <w:left w:w="108" w:type="dxa"/>
            <w:bottom w:w="0" w:type="dxa"/>
            <w:right w:w="108" w:type="dxa"/>
          </w:tblCellMar>
        </w:tblPrEx>
        <w:trPr>
          <w:trHeight w:val="40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购买黑白打印机</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完成购买5台黑白打印机</w:t>
            </w:r>
          </w:p>
        </w:tc>
      </w:tr>
      <w:tr>
        <w:tblPrEx>
          <w:tblCellMar>
            <w:top w:w="0" w:type="dxa"/>
            <w:left w:w="108" w:type="dxa"/>
            <w:bottom w:w="0" w:type="dxa"/>
            <w:right w:w="108" w:type="dxa"/>
          </w:tblCellMar>
        </w:tblPrEx>
        <w:trPr>
          <w:trHeight w:val="40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购买挂式空调</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完成购买1台挂式空调</w:t>
            </w:r>
          </w:p>
        </w:tc>
      </w:tr>
      <w:tr>
        <w:tblPrEx>
          <w:tblCellMar>
            <w:top w:w="0" w:type="dxa"/>
            <w:left w:w="108" w:type="dxa"/>
            <w:bottom w:w="0" w:type="dxa"/>
            <w:right w:w="108" w:type="dxa"/>
          </w:tblCellMar>
        </w:tblPrEx>
        <w:trPr>
          <w:trHeight w:val="40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购买文件柜</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完成购买10个文件柜</w:t>
            </w:r>
          </w:p>
        </w:tc>
      </w:tr>
      <w:tr>
        <w:tblPrEx>
          <w:tblCellMar>
            <w:top w:w="0" w:type="dxa"/>
            <w:left w:w="108" w:type="dxa"/>
            <w:bottom w:w="0" w:type="dxa"/>
            <w:right w:w="108" w:type="dxa"/>
          </w:tblCellMar>
        </w:tblPrEx>
        <w:trPr>
          <w:trHeight w:val="39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质量指标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购置办公设备质量要求</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购置的办公设备验收质量100%合格</w:t>
            </w:r>
          </w:p>
        </w:tc>
      </w:tr>
      <w:tr>
        <w:tblPrEx>
          <w:tblCellMar>
            <w:top w:w="0" w:type="dxa"/>
            <w:left w:w="108" w:type="dxa"/>
            <w:bottom w:w="0" w:type="dxa"/>
            <w:right w:w="108" w:type="dxa"/>
          </w:tblCellMar>
        </w:tblPrEx>
        <w:trPr>
          <w:trHeight w:val="379"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时效指标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购买时间</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2022年4月完成购买</w:t>
            </w:r>
          </w:p>
        </w:tc>
      </w:tr>
      <w:tr>
        <w:tblPrEx>
          <w:tblCellMar>
            <w:top w:w="0" w:type="dxa"/>
            <w:left w:w="108" w:type="dxa"/>
            <w:bottom w:w="0" w:type="dxa"/>
            <w:right w:w="108" w:type="dxa"/>
          </w:tblCellMar>
        </w:tblPrEx>
        <w:trPr>
          <w:trHeight w:val="39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成本指标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投入资金</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不超过3.91万元</w:t>
            </w:r>
          </w:p>
        </w:tc>
      </w:tr>
      <w:tr>
        <w:tblPrEx>
          <w:tblCellMar>
            <w:top w:w="0" w:type="dxa"/>
            <w:left w:w="108" w:type="dxa"/>
            <w:bottom w:w="0" w:type="dxa"/>
            <w:right w:w="108" w:type="dxa"/>
          </w:tblCellMar>
        </w:tblPrEx>
        <w:trPr>
          <w:trHeight w:val="374"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效益指标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经济效益指标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93"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社会效益指标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提高办公效率</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&gt;95%</w:t>
            </w:r>
          </w:p>
        </w:tc>
      </w:tr>
      <w:tr>
        <w:tblPrEx>
          <w:tblCellMar>
            <w:top w:w="0" w:type="dxa"/>
            <w:left w:w="108" w:type="dxa"/>
            <w:bottom w:w="0" w:type="dxa"/>
            <w:right w:w="108" w:type="dxa"/>
          </w:tblCellMar>
        </w:tblPrEx>
        <w:trPr>
          <w:trHeight w:val="38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生态效益指标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78"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可持续影响指标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51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满意度指标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服务对象满意度指标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办公人员满意度</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&gt;95%</w:t>
            </w:r>
          </w:p>
        </w:tc>
      </w:tr>
    </w:tbl>
    <w:p>
      <w:pPr>
        <w:spacing w:line="590" w:lineRule="exact"/>
        <w:ind w:firstLine="640" w:firstLineChars="200"/>
        <w:rPr>
          <w:rFonts w:ascii="楷体" w:hAnsi="楷体" w:eastAsia="楷体" w:cs="楷体"/>
          <w:kern w:val="0"/>
          <w:sz w:val="32"/>
          <w:szCs w:val="32"/>
        </w:rPr>
      </w:pPr>
    </w:p>
    <w:tbl>
      <w:tblPr>
        <w:tblStyle w:val="6"/>
        <w:tblW w:w="8220" w:type="dxa"/>
        <w:tblInd w:w="0" w:type="dxa"/>
        <w:tblLayout w:type="fixed"/>
        <w:tblCellMar>
          <w:top w:w="0" w:type="dxa"/>
          <w:left w:w="108" w:type="dxa"/>
          <w:bottom w:w="0" w:type="dxa"/>
          <w:right w:w="108" w:type="dxa"/>
        </w:tblCellMar>
      </w:tblPr>
      <w:tblGrid>
        <w:gridCol w:w="1149"/>
        <w:gridCol w:w="1174"/>
        <w:gridCol w:w="1932"/>
        <w:gridCol w:w="1982"/>
        <w:gridCol w:w="1983"/>
      </w:tblGrid>
      <w:tr>
        <w:tblPrEx>
          <w:tblCellMar>
            <w:top w:w="0" w:type="dxa"/>
            <w:left w:w="108" w:type="dxa"/>
            <w:bottom w:w="0" w:type="dxa"/>
            <w:right w:w="108" w:type="dxa"/>
          </w:tblCellMar>
        </w:tblPrEx>
        <w:trPr>
          <w:trHeight w:val="615" w:hRule="atLeast"/>
        </w:trPr>
        <w:tc>
          <w:tcPr>
            <w:tcW w:w="8220" w:type="dxa"/>
            <w:gridSpan w:val="5"/>
            <w:tcBorders>
              <w:top w:val="nil"/>
              <w:left w:val="nil"/>
              <w:bottom w:val="single" w:color="000000" w:sz="4" w:space="0"/>
              <w:right w:val="nil"/>
            </w:tcBorders>
            <w:tcMar>
              <w:top w:w="15" w:type="dxa"/>
              <w:left w:w="15" w:type="dxa"/>
              <w:bottom w:w="15" w:type="dxa"/>
              <w:right w:w="15" w:type="dxa"/>
            </w:tcMar>
          </w:tcPr>
          <w:p>
            <w:pPr>
              <w:widowControl/>
              <w:spacing w:line="590" w:lineRule="exact"/>
              <w:jc w:val="center"/>
              <w:textAlignment w:val="top"/>
              <w:rPr>
                <w:rFonts w:ascii="方正小标宋简体" w:hAnsi="方正小标宋简体" w:eastAsia="方正小标宋简体" w:cs="方正小标宋简体"/>
                <w:kern w:val="0"/>
                <w:sz w:val="36"/>
                <w:szCs w:val="36"/>
              </w:rPr>
            </w:pPr>
            <w:r>
              <w:rPr>
                <w:rFonts w:hint="eastAsia" w:ascii="方正小标宋简体" w:hAnsi="方正小标宋简体" w:eastAsia="方正小标宋简体" w:cs="方正小标宋简体"/>
                <w:kern w:val="0"/>
                <w:sz w:val="36"/>
                <w:szCs w:val="36"/>
              </w:rPr>
              <w:t>专项业务费（办公费）绩效目标表</w:t>
            </w:r>
          </w:p>
        </w:tc>
      </w:tr>
      <w:tr>
        <w:tblPrEx>
          <w:tblCellMar>
            <w:top w:w="0" w:type="dxa"/>
            <w:left w:w="108" w:type="dxa"/>
            <w:bottom w:w="0" w:type="dxa"/>
            <w:right w:w="108" w:type="dxa"/>
          </w:tblCellMar>
        </w:tblPrEx>
        <w:trPr>
          <w:trHeight w:val="427"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项目资金（万元）</w:t>
            </w: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left"/>
              <w:textAlignment w:val="center"/>
              <w:rPr>
                <w:rFonts w:ascii="宋体" w:hAnsi="宋体" w:eastAsia="宋体" w:cs="宋体"/>
                <w:sz w:val="24"/>
                <w:szCs w:val="24"/>
              </w:rPr>
            </w:pPr>
            <w:r>
              <w:rPr>
                <w:rFonts w:hint="eastAsia" w:ascii="宋体" w:hAnsi="宋体" w:eastAsia="宋体" w:cs="宋体"/>
                <w:kern w:val="0"/>
                <w:sz w:val="24"/>
                <w:szCs w:val="24"/>
              </w:rPr>
              <w:t xml:space="preserve">资金总额：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5</w:t>
            </w:r>
          </w:p>
        </w:tc>
      </w:tr>
      <w:tr>
        <w:tblPrEx>
          <w:tblCellMar>
            <w:top w:w="0" w:type="dxa"/>
            <w:left w:w="108" w:type="dxa"/>
            <w:bottom w:w="0" w:type="dxa"/>
            <w:right w:w="108" w:type="dxa"/>
          </w:tblCellMar>
        </w:tblPrEx>
        <w:trPr>
          <w:trHeight w:val="42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财政拨款：</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5</w:t>
            </w:r>
          </w:p>
        </w:tc>
      </w:tr>
      <w:tr>
        <w:tblPrEx>
          <w:tblCellMar>
            <w:top w:w="0" w:type="dxa"/>
            <w:left w:w="108" w:type="dxa"/>
            <w:bottom w:w="0" w:type="dxa"/>
            <w:right w:w="108" w:type="dxa"/>
          </w:tblCellMar>
        </w:tblPrEx>
        <w:trPr>
          <w:trHeight w:val="401"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3106"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  其他资金： </w:t>
            </w:r>
          </w:p>
        </w:tc>
        <w:tc>
          <w:tcPr>
            <w:tcW w:w="3965" w:type="dxa"/>
            <w:gridSpan w:val="2"/>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0</w:t>
            </w:r>
          </w:p>
        </w:tc>
      </w:tr>
      <w:tr>
        <w:tblPrEx>
          <w:tblCellMar>
            <w:top w:w="0" w:type="dxa"/>
            <w:left w:w="108" w:type="dxa"/>
            <w:bottom w:w="0" w:type="dxa"/>
            <w:right w:w="108" w:type="dxa"/>
          </w:tblCellMar>
        </w:tblPrEx>
        <w:trPr>
          <w:trHeight w:val="759" w:hRule="atLeast"/>
        </w:trPr>
        <w:tc>
          <w:tcPr>
            <w:tcW w:w="1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kern w:val="0"/>
                <w:sz w:val="24"/>
                <w:szCs w:val="24"/>
              </w:rPr>
            </w:pPr>
            <w:r>
              <w:rPr>
                <w:rFonts w:hint="eastAsia" w:ascii="宋体" w:hAnsi="宋体" w:eastAsia="宋体" w:cs="宋体"/>
                <w:kern w:val="0"/>
                <w:sz w:val="24"/>
                <w:szCs w:val="24"/>
              </w:rPr>
              <w:t>总体</w:t>
            </w:r>
          </w:p>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w:t>
            </w:r>
          </w:p>
        </w:tc>
        <w:tc>
          <w:tcPr>
            <w:tcW w:w="7071" w:type="dxa"/>
            <w:gridSpan w:val="4"/>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确保“安全生产月”主题宣传活动顺利举行，提升群众安全意识，营造良好的安全生产环境。</w:t>
            </w:r>
          </w:p>
        </w:tc>
      </w:tr>
      <w:tr>
        <w:tblPrEx>
          <w:tblCellMar>
            <w:top w:w="0" w:type="dxa"/>
            <w:left w:w="108" w:type="dxa"/>
            <w:bottom w:w="0" w:type="dxa"/>
            <w:right w:w="108" w:type="dxa"/>
          </w:tblCellMar>
        </w:tblPrEx>
        <w:trPr>
          <w:trHeight w:val="388" w:hRule="atLeast"/>
        </w:trPr>
        <w:tc>
          <w:tcPr>
            <w:tcW w:w="1149"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 xml:space="preserve">绩效目标指标   </w:t>
            </w: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一级指标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二级指标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三级指标</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目标值</w:t>
            </w:r>
          </w:p>
        </w:tc>
      </w:tr>
      <w:tr>
        <w:tblPrEx>
          <w:tblCellMar>
            <w:top w:w="0" w:type="dxa"/>
            <w:left w:w="108" w:type="dxa"/>
            <w:bottom w:w="0" w:type="dxa"/>
            <w:right w:w="108" w:type="dxa"/>
          </w:tblCellMar>
        </w:tblPrEx>
        <w:trPr>
          <w:trHeight w:val="38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产出指标</w:t>
            </w:r>
          </w:p>
        </w:tc>
        <w:tc>
          <w:tcPr>
            <w:tcW w:w="1932"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数量指标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“安全生产月”主题宣传横幅</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完成购买5条“安全生产月”主题宣传横幅</w:t>
            </w:r>
          </w:p>
        </w:tc>
      </w:tr>
      <w:tr>
        <w:tblPrEx>
          <w:tblCellMar>
            <w:top w:w="0" w:type="dxa"/>
            <w:left w:w="108" w:type="dxa"/>
            <w:bottom w:w="0" w:type="dxa"/>
            <w:right w:w="108" w:type="dxa"/>
          </w:tblCellMar>
        </w:tblPrEx>
        <w:trPr>
          <w:trHeight w:val="40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“安全生产月”主题宣传海报</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完成购买2张“安全生产月”主题宣传海报</w:t>
            </w:r>
          </w:p>
        </w:tc>
      </w:tr>
      <w:tr>
        <w:tblPrEx>
          <w:tblCellMar>
            <w:top w:w="0" w:type="dxa"/>
            <w:left w:w="108" w:type="dxa"/>
            <w:bottom w:w="0" w:type="dxa"/>
            <w:right w:w="108" w:type="dxa"/>
          </w:tblCellMar>
        </w:tblPrEx>
        <w:trPr>
          <w:trHeight w:val="40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“安全生产月”主题宣传折页</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完成购买100份“安全生产月”主题宣传折页</w:t>
            </w:r>
          </w:p>
        </w:tc>
      </w:tr>
      <w:tr>
        <w:tblPrEx>
          <w:tblCellMar>
            <w:top w:w="0" w:type="dxa"/>
            <w:left w:w="108" w:type="dxa"/>
            <w:bottom w:w="0" w:type="dxa"/>
            <w:right w:w="108" w:type="dxa"/>
          </w:tblCellMar>
        </w:tblPrEx>
        <w:trPr>
          <w:trHeight w:val="39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质量指标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商品质量合格率</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商品质量100%合格</w:t>
            </w:r>
          </w:p>
        </w:tc>
      </w:tr>
      <w:tr>
        <w:tblPrEx>
          <w:tblCellMar>
            <w:top w:w="0" w:type="dxa"/>
            <w:left w:w="108" w:type="dxa"/>
            <w:bottom w:w="0" w:type="dxa"/>
            <w:right w:w="108" w:type="dxa"/>
          </w:tblCellMar>
        </w:tblPrEx>
        <w:trPr>
          <w:trHeight w:val="379"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时效指标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购买时间</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2022年5月完成购买</w:t>
            </w:r>
          </w:p>
        </w:tc>
      </w:tr>
      <w:tr>
        <w:tblPrEx>
          <w:tblCellMar>
            <w:top w:w="0" w:type="dxa"/>
            <w:left w:w="108" w:type="dxa"/>
            <w:bottom w:w="0" w:type="dxa"/>
            <w:right w:w="108" w:type="dxa"/>
          </w:tblCellMar>
        </w:tblPrEx>
        <w:trPr>
          <w:trHeight w:val="390"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成本指标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投入资金</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不超过5万元</w:t>
            </w:r>
          </w:p>
        </w:tc>
      </w:tr>
      <w:tr>
        <w:tblPrEx>
          <w:tblCellMar>
            <w:top w:w="0" w:type="dxa"/>
            <w:left w:w="108" w:type="dxa"/>
            <w:bottom w:w="0" w:type="dxa"/>
            <w:right w:w="108" w:type="dxa"/>
          </w:tblCellMar>
        </w:tblPrEx>
        <w:trPr>
          <w:trHeight w:val="374"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restar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效益指标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经济效益指标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93"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社会效益指标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群众安全风险防范意识</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&gt;95%</w:t>
            </w:r>
          </w:p>
        </w:tc>
      </w:tr>
      <w:tr>
        <w:tblPrEx>
          <w:tblCellMar>
            <w:top w:w="0" w:type="dxa"/>
            <w:left w:w="108" w:type="dxa"/>
            <w:bottom w:w="0" w:type="dxa"/>
            <w:right w:w="108" w:type="dxa"/>
          </w:tblCellMar>
        </w:tblPrEx>
        <w:trPr>
          <w:trHeight w:val="38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生态效益指标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378"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可持续影响指标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kern w:val="0"/>
                <w:sz w:val="24"/>
                <w:szCs w:val="24"/>
              </w:rPr>
              <w:t>／</w:t>
            </w:r>
          </w:p>
        </w:tc>
      </w:tr>
      <w:tr>
        <w:tblPrEx>
          <w:tblCellMar>
            <w:top w:w="0" w:type="dxa"/>
            <w:left w:w="108" w:type="dxa"/>
            <w:bottom w:w="0" w:type="dxa"/>
            <w:right w:w="108" w:type="dxa"/>
          </w:tblCellMar>
        </w:tblPrEx>
        <w:trPr>
          <w:trHeight w:val="515" w:hRule="atLeast"/>
        </w:trPr>
        <w:tc>
          <w:tcPr>
            <w:tcW w:w="11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宋体" w:hAnsi="宋体" w:eastAsia="宋体" w:cs="宋体"/>
                <w:sz w:val="24"/>
                <w:szCs w:val="24"/>
              </w:rPr>
            </w:pPr>
          </w:p>
        </w:tc>
        <w:tc>
          <w:tcPr>
            <w:tcW w:w="11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满意度指标</w:t>
            </w:r>
          </w:p>
        </w:tc>
        <w:tc>
          <w:tcPr>
            <w:tcW w:w="193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jc w:val="center"/>
              <w:textAlignment w:val="center"/>
              <w:rPr>
                <w:rFonts w:ascii="宋体" w:hAnsi="宋体" w:eastAsia="宋体" w:cs="宋体"/>
                <w:sz w:val="24"/>
                <w:szCs w:val="24"/>
              </w:rPr>
            </w:pPr>
            <w:r>
              <w:rPr>
                <w:rFonts w:hint="eastAsia" w:ascii="宋体" w:hAnsi="宋体" w:eastAsia="宋体" w:cs="宋体"/>
                <w:kern w:val="0"/>
                <w:sz w:val="24"/>
                <w:szCs w:val="24"/>
              </w:rPr>
              <w:t>服务对象满意度指标</w:t>
            </w:r>
          </w:p>
        </w:tc>
        <w:tc>
          <w:tcPr>
            <w:tcW w:w="19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群众满意度情况</w:t>
            </w:r>
          </w:p>
        </w:tc>
        <w:tc>
          <w:tcPr>
            <w:tcW w:w="198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jc w:val="center"/>
              <w:rPr>
                <w:rFonts w:ascii="宋体" w:hAnsi="宋体" w:eastAsia="宋体" w:cs="宋体"/>
                <w:sz w:val="24"/>
                <w:szCs w:val="24"/>
              </w:rPr>
            </w:pPr>
            <w:r>
              <w:rPr>
                <w:rFonts w:hint="eastAsia" w:ascii="宋体" w:hAnsi="宋体" w:eastAsia="宋体" w:cs="宋体"/>
                <w:sz w:val="24"/>
                <w:szCs w:val="24"/>
              </w:rPr>
              <w:t>&gt;95%</w:t>
            </w:r>
          </w:p>
        </w:tc>
      </w:tr>
    </w:tbl>
    <w:p>
      <w:pPr>
        <w:spacing w:line="590" w:lineRule="exact"/>
        <w:ind w:firstLine="643" w:firstLineChars="200"/>
        <w:rPr>
          <w:rFonts w:ascii="仿宋" w:hAnsi="仿宋" w:eastAsia="仿宋"/>
          <w:b/>
          <w:sz w:val="32"/>
          <w:szCs w:val="32"/>
        </w:rPr>
      </w:pPr>
      <w:r>
        <w:rPr>
          <w:rFonts w:hint="eastAsia" w:ascii="仿宋" w:hAnsi="仿宋" w:eastAsia="仿宋"/>
          <w:b/>
          <w:sz w:val="32"/>
          <w:szCs w:val="32"/>
        </w:rPr>
        <w:t>2.有关情况说明</w:t>
      </w:r>
    </w:p>
    <w:p>
      <w:pPr>
        <w:spacing w:line="590" w:lineRule="exact"/>
        <w:ind w:firstLine="640" w:firstLineChars="200"/>
        <w:rPr>
          <w:rFonts w:ascii="仿宋" w:hAnsi="仿宋" w:eastAsia="仿宋"/>
          <w:sz w:val="32"/>
          <w:szCs w:val="32"/>
        </w:rPr>
      </w:pPr>
      <w:r>
        <w:rPr>
          <w:rFonts w:hint="eastAsia" w:ascii="仿宋" w:hAnsi="仿宋" w:eastAsia="仿宋"/>
          <w:sz w:val="32"/>
          <w:szCs w:val="32"/>
        </w:rPr>
        <w:t>本部门无其他需要说明的绩效目标情况。</w:t>
      </w:r>
    </w:p>
    <w:p>
      <w:pPr>
        <w:spacing w:line="600" w:lineRule="exact"/>
        <w:rPr>
          <w:rFonts w:ascii="黑体" w:hAnsi="黑体" w:eastAsia="黑体"/>
          <w:sz w:val="32"/>
          <w:szCs w:val="32"/>
        </w:rPr>
      </w:pPr>
      <w:r>
        <w:rPr>
          <w:rFonts w:hint="eastAsia" w:ascii="黑体" w:hAnsi="黑体" w:eastAsia="黑体"/>
          <w:sz w:val="32"/>
          <w:szCs w:val="32"/>
        </w:rPr>
        <w:t>八、其他重要事项说明</w:t>
      </w:r>
    </w:p>
    <w:p>
      <w:pPr>
        <w:spacing w:line="600" w:lineRule="exact"/>
        <w:ind w:firstLine="643" w:firstLineChars="200"/>
        <w:rPr>
          <w:rFonts w:ascii="楷体" w:hAnsi="楷体" w:eastAsia="楷体"/>
          <w:b/>
          <w:sz w:val="32"/>
          <w:szCs w:val="32"/>
        </w:rPr>
      </w:pPr>
      <w:r>
        <w:rPr>
          <w:rFonts w:hint="eastAsia" w:ascii="楷体" w:hAnsi="楷体" w:eastAsia="楷体"/>
          <w:b/>
          <w:sz w:val="32"/>
          <w:szCs w:val="32"/>
        </w:rPr>
        <w:t>（一）机关运行经费</w:t>
      </w:r>
    </w:p>
    <w:p>
      <w:pPr>
        <w:spacing w:line="600" w:lineRule="exact"/>
        <w:ind w:firstLine="640" w:firstLineChars="200"/>
        <w:rPr>
          <w:rFonts w:ascii="仿宋" w:hAnsi="仿宋" w:eastAsia="仿宋" w:cs="仿宋_GB2312"/>
          <w:sz w:val="32"/>
          <w:szCs w:val="32"/>
        </w:rPr>
      </w:pPr>
      <w:r>
        <w:rPr>
          <w:rFonts w:hint="eastAsia" w:ascii="仿宋" w:hAnsi="仿宋" w:eastAsia="仿宋" w:cs="仿宋_GB2312"/>
          <w:kern w:val="0"/>
          <w:sz w:val="32"/>
          <w:szCs w:val="32"/>
        </w:rPr>
        <w:t>2022</w:t>
      </w:r>
      <w:r>
        <w:rPr>
          <w:rFonts w:hint="eastAsia" w:ascii="仿宋" w:hAnsi="仿宋" w:eastAsia="仿宋"/>
          <w:sz w:val="32"/>
          <w:szCs w:val="32"/>
        </w:rPr>
        <w:t>年，</w:t>
      </w:r>
      <w:r>
        <w:rPr>
          <w:rFonts w:hint="eastAsia" w:ascii="仿宋" w:hAnsi="仿宋" w:eastAsia="仿宋" w:cs="仿宋_GB2312"/>
          <w:kern w:val="0"/>
          <w:sz w:val="32"/>
          <w:szCs w:val="32"/>
        </w:rPr>
        <w:t>平潭综合实验区应急事务中心</w:t>
      </w:r>
      <w:r>
        <w:rPr>
          <w:rFonts w:hint="eastAsia" w:ascii="仿宋" w:hAnsi="仿宋" w:eastAsia="仿宋"/>
          <w:sz w:val="32"/>
          <w:szCs w:val="32"/>
        </w:rPr>
        <w:t>一般公共预算拨款安排的机关运行经费支出</w:t>
      </w:r>
      <w:r>
        <w:rPr>
          <w:rFonts w:hint="eastAsia" w:ascii="仿宋" w:hAnsi="仿宋" w:eastAsia="仿宋" w:cs="仿宋_GB2312"/>
          <w:kern w:val="0"/>
          <w:sz w:val="32"/>
          <w:szCs w:val="32"/>
        </w:rPr>
        <w:t>0</w:t>
      </w:r>
      <w:r>
        <w:rPr>
          <w:rFonts w:hint="eastAsia" w:ascii="仿宋" w:hAnsi="仿宋" w:eastAsia="仿宋"/>
          <w:sz w:val="32"/>
          <w:szCs w:val="32"/>
        </w:rPr>
        <w:t>万元，</w:t>
      </w:r>
      <w:r>
        <w:rPr>
          <w:rFonts w:hint="eastAsia" w:ascii="仿宋" w:hAnsi="仿宋" w:eastAsia="仿宋" w:cs="仿宋_GB2312"/>
          <w:sz w:val="32"/>
          <w:szCs w:val="32"/>
        </w:rPr>
        <w:t>与上年持平</w:t>
      </w:r>
      <w:r>
        <w:rPr>
          <w:rFonts w:hint="eastAsia" w:ascii="仿宋" w:hAnsi="仿宋" w:eastAsia="仿宋"/>
          <w:sz w:val="32"/>
          <w:szCs w:val="32"/>
        </w:rPr>
        <w:t>。主要原因是本部门没有机关运行经费</w:t>
      </w:r>
      <w:r>
        <w:rPr>
          <w:rFonts w:hint="eastAsia" w:ascii="仿宋" w:hAnsi="仿宋" w:eastAsia="仿宋" w:cs="仿宋_GB2312"/>
          <w:sz w:val="32"/>
          <w:szCs w:val="32"/>
        </w:rPr>
        <w:t>。</w:t>
      </w:r>
    </w:p>
    <w:p>
      <w:pPr>
        <w:spacing w:line="600" w:lineRule="exact"/>
        <w:ind w:firstLine="643" w:firstLineChars="200"/>
        <w:rPr>
          <w:rFonts w:ascii="楷体" w:hAnsi="楷体" w:eastAsia="楷体"/>
          <w:b/>
          <w:sz w:val="32"/>
          <w:szCs w:val="32"/>
        </w:rPr>
      </w:pPr>
      <w:r>
        <w:rPr>
          <w:rFonts w:hint="eastAsia" w:ascii="楷体" w:hAnsi="楷体" w:eastAsia="楷体"/>
          <w:b/>
          <w:sz w:val="32"/>
          <w:szCs w:val="32"/>
        </w:rPr>
        <w:t>（二）政府采购情况</w:t>
      </w:r>
    </w:p>
    <w:p>
      <w:pPr>
        <w:spacing w:line="600" w:lineRule="exact"/>
        <w:ind w:firstLine="640" w:firstLineChars="200"/>
        <w:rPr>
          <w:rFonts w:ascii="仿宋" w:hAnsi="仿宋" w:eastAsia="仿宋"/>
          <w:kern w:val="0"/>
          <w:sz w:val="32"/>
          <w:szCs w:val="32"/>
        </w:rPr>
      </w:pPr>
      <w:r>
        <w:rPr>
          <w:rFonts w:hint="eastAsia" w:ascii="仿宋" w:hAnsi="仿宋" w:eastAsia="仿宋"/>
          <w:kern w:val="0"/>
          <w:sz w:val="32"/>
          <w:szCs w:val="32"/>
        </w:rPr>
        <w:t>2022年，</w:t>
      </w:r>
      <w:r>
        <w:rPr>
          <w:rFonts w:hint="eastAsia" w:ascii="仿宋" w:hAnsi="仿宋" w:eastAsia="仿宋" w:cs="仿宋_GB2312"/>
          <w:kern w:val="0"/>
          <w:sz w:val="32"/>
          <w:szCs w:val="32"/>
        </w:rPr>
        <w:t>平潭综合实验区应急事务中心</w:t>
      </w:r>
      <w:r>
        <w:rPr>
          <w:rFonts w:hint="eastAsia" w:ascii="仿宋" w:hAnsi="仿宋" w:eastAsia="仿宋"/>
          <w:kern w:val="0"/>
          <w:sz w:val="32"/>
          <w:szCs w:val="32"/>
        </w:rPr>
        <w:t>政府采购预算总额20.56万元，其中：政府采购货物预算20.56万元、政府采购工程预算0万元、政府采购服务预算0万元。</w:t>
      </w:r>
    </w:p>
    <w:p>
      <w:pPr>
        <w:spacing w:line="600" w:lineRule="exact"/>
        <w:ind w:firstLine="643" w:firstLineChars="200"/>
        <w:rPr>
          <w:rFonts w:ascii="楷体" w:hAnsi="楷体" w:eastAsia="楷体"/>
          <w:b/>
          <w:sz w:val="32"/>
          <w:szCs w:val="32"/>
        </w:rPr>
      </w:pPr>
      <w:r>
        <w:rPr>
          <w:rFonts w:hint="eastAsia" w:ascii="楷体" w:hAnsi="楷体" w:eastAsia="楷体"/>
          <w:b/>
          <w:sz w:val="32"/>
          <w:szCs w:val="32"/>
        </w:rPr>
        <w:t>（三）国有资产占用使用情况</w:t>
      </w:r>
    </w:p>
    <w:p>
      <w:pPr>
        <w:spacing w:line="600" w:lineRule="exact"/>
        <w:ind w:firstLine="640" w:firstLineChars="200"/>
        <w:rPr>
          <w:rFonts w:ascii="仿宋" w:hAnsi="仿宋" w:eastAsia="仿宋" w:cs="仿宋_GB2312"/>
          <w:kern w:val="0"/>
          <w:sz w:val="32"/>
          <w:szCs w:val="32"/>
        </w:rPr>
      </w:pPr>
      <w:r>
        <w:rPr>
          <w:rFonts w:hint="eastAsia" w:ascii="仿宋" w:hAnsi="仿宋" w:eastAsia="仿宋"/>
          <w:sz w:val="32"/>
          <w:szCs w:val="32"/>
        </w:rPr>
        <w:t>截至</w:t>
      </w:r>
      <w:r>
        <w:rPr>
          <w:rFonts w:hint="eastAsia" w:ascii="仿宋" w:hAnsi="仿宋" w:eastAsia="仿宋" w:cs="仿宋_GB2312"/>
          <w:kern w:val="0"/>
          <w:sz w:val="32"/>
          <w:szCs w:val="32"/>
        </w:rPr>
        <w:t>2021年12月31日，平潭综合实验区应急事务中心</w:t>
      </w:r>
      <w:r>
        <w:rPr>
          <w:rFonts w:hint="eastAsia" w:ascii="仿宋" w:hAnsi="仿宋" w:eastAsia="仿宋"/>
          <w:sz w:val="32"/>
          <w:szCs w:val="32"/>
        </w:rPr>
        <w:t>共有车辆</w:t>
      </w:r>
      <w:r>
        <w:rPr>
          <w:rFonts w:hint="eastAsia" w:ascii="仿宋" w:hAnsi="仿宋" w:eastAsia="仿宋" w:cs="仿宋_GB2312"/>
          <w:kern w:val="0"/>
          <w:sz w:val="32"/>
          <w:szCs w:val="32"/>
        </w:rPr>
        <w:t>1</w:t>
      </w:r>
      <w:r>
        <w:rPr>
          <w:rFonts w:hint="eastAsia" w:ascii="仿宋" w:hAnsi="仿宋" w:eastAsia="仿宋"/>
          <w:sz w:val="32"/>
          <w:szCs w:val="32"/>
        </w:rPr>
        <w:t>辆，其中：省部级领导干部用车</w:t>
      </w:r>
      <w:r>
        <w:rPr>
          <w:rFonts w:hint="eastAsia" w:ascii="仿宋" w:hAnsi="仿宋" w:eastAsia="仿宋" w:cs="仿宋_GB2312"/>
          <w:kern w:val="0"/>
          <w:sz w:val="32"/>
          <w:szCs w:val="32"/>
        </w:rPr>
        <w:t>0</w:t>
      </w:r>
      <w:r>
        <w:rPr>
          <w:rFonts w:hint="eastAsia" w:ascii="仿宋" w:hAnsi="仿宋" w:eastAsia="仿宋"/>
          <w:sz w:val="32"/>
          <w:szCs w:val="32"/>
        </w:rPr>
        <w:t>辆、机要通信用车</w:t>
      </w:r>
      <w:r>
        <w:rPr>
          <w:rFonts w:hint="eastAsia" w:ascii="仿宋" w:hAnsi="仿宋" w:eastAsia="仿宋" w:cs="仿宋_GB2312"/>
          <w:kern w:val="0"/>
          <w:sz w:val="32"/>
          <w:szCs w:val="32"/>
        </w:rPr>
        <w:t>0</w:t>
      </w:r>
      <w:r>
        <w:rPr>
          <w:rFonts w:hint="eastAsia" w:ascii="仿宋" w:hAnsi="仿宋" w:eastAsia="仿宋"/>
          <w:sz w:val="32"/>
          <w:szCs w:val="32"/>
        </w:rPr>
        <w:t>辆、应急保障用车</w:t>
      </w:r>
      <w:r>
        <w:rPr>
          <w:rFonts w:hint="eastAsia" w:ascii="仿宋" w:hAnsi="仿宋" w:eastAsia="仿宋" w:cs="仿宋_GB2312"/>
          <w:kern w:val="0"/>
          <w:sz w:val="32"/>
          <w:szCs w:val="32"/>
        </w:rPr>
        <w:t>0</w:t>
      </w:r>
      <w:r>
        <w:rPr>
          <w:rFonts w:hint="eastAsia" w:ascii="仿宋" w:hAnsi="仿宋" w:eastAsia="仿宋"/>
          <w:sz w:val="32"/>
          <w:szCs w:val="32"/>
        </w:rPr>
        <w:t>辆、执法执勤用车</w:t>
      </w:r>
      <w:r>
        <w:rPr>
          <w:rFonts w:hint="eastAsia" w:ascii="仿宋" w:hAnsi="仿宋" w:eastAsia="仿宋" w:cs="仿宋_GB2312"/>
          <w:kern w:val="0"/>
          <w:sz w:val="32"/>
          <w:szCs w:val="32"/>
        </w:rPr>
        <w:t>0</w:t>
      </w:r>
      <w:r>
        <w:rPr>
          <w:rFonts w:hint="eastAsia" w:ascii="仿宋" w:hAnsi="仿宋" w:eastAsia="仿宋"/>
          <w:sz w:val="32"/>
          <w:szCs w:val="32"/>
        </w:rPr>
        <w:t>辆、特种专业技术用车</w:t>
      </w:r>
      <w:r>
        <w:rPr>
          <w:rFonts w:hint="eastAsia" w:ascii="仿宋" w:hAnsi="仿宋" w:eastAsia="仿宋" w:cs="仿宋_GB2312"/>
          <w:kern w:val="0"/>
          <w:sz w:val="32"/>
          <w:szCs w:val="32"/>
        </w:rPr>
        <w:t>1</w:t>
      </w:r>
      <w:r>
        <w:rPr>
          <w:rFonts w:hint="eastAsia" w:ascii="仿宋" w:hAnsi="仿宋" w:eastAsia="仿宋"/>
          <w:sz w:val="32"/>
          <w:szCs w:val="32"/>
        </w:rPr>
        <w:t>辆、其他用车</w:t>
      </w:r>
      <w:r>
        <w:rPr>
          <w:rFonts w:hint="eastAsia" w:ascii="仿宋" w:hAnsi="仿宋" w:eastAsia="仿宋" w:cs="仿宋_GB2312"/>
          <w:kern w:val="0"/>
          <w:sz w:val="32"/>
          <w:szCs w:val="32"/>
        </w:rPr>
        <w:t>0</w:t>
      </w:r>
      <w:r>
        <w:rPr>
          <w:rFonts w:hint="eastAsia" w:ascii="仿宋" w:hAnsi="仿宋" w:eastAsia="仿宋"/>
          <w:sz w:val="32"/>
          <w:szCs w:val="32"/>
        </w:rPr>
        <w:t>辆。单位价值50万元以上通用设备</w:t>
      </w:r>
      <w:r>
        <w:rPr>
          <w:rFonts w:hint="eastAsia" w:ascii="仿宋" w:hAnsi="仿宋" w:eastAsia="仿宋" w:cs="仿宋_GB2312"/>
          <w:kern w:val="0"/>
          <w:sz w:val="32"/>
          <w:szCs w:val="32"/>
        </w:rPr>
        <w:t>0台（套），</w:t>
      </w:r>
      <w:r>
        <w:rPr>
          <w:rFonts w:hint="eastAsia" w:ascii="仿宋" w:hAnsi="仿宋" w:eastAsia="仿宋"/>
          <w:sz w:val="32"/>
          <w:szCs w:val="32"/>
        </w:rPr>
        <w:t>单位价值100万元以上专用设备</w:t>
      </w:r>
      <w:r>
        <w:rPr>
          <w:rFonts w:hint="eastAsia" w:ascii="仿宋" w:hAnsi="仿宋" w:eastAsia="仿宋" w:cs="仿宋_GB2312"/>
          <w:kern w:val="0"/>
          <w:sz w:val="32"/>
          <w:szCs w:val="32"/>
        </w:rPr>
        <w:t>0台（套）。</w:t>
      </w:r>
    </w:p>
    <w:p>
      <w:pPr>
        <w:ind w:firstLine="640" w:firstLineChars="200"/>
        <w:rPr>
          <w:rFonts w:ascii="仿宋" w:hAnsi="仿宋" w:eastAsia="仿宋" w:cs="楷体"/>
          <w:kern w:val="0"/>
          <w:sz w:val="32"/>
          <w:szCs w:val="32"/>
        </w:rPr>
      </w:pPr>
      <w:r>
        <w:rPr>
          <w:rFonts w:hint="eastAsia" w:ascii="仿宋" w:hAnsi="仿宋" w:eastAsia="仿宋" w:cs="楷体"/>
          <w:kern w:val="0"/>
          <w:sz w:val="32"/>
          <w:szCs w:val="32"/>
        </w:rPr>
        <w:t>2022年部门预算安排购置车辆</w:t>
      </w:r>
      <w:r>
        <w:rPr>
          <w:rFonts w:hint="eastAsia" w:ascii="仿宋" w:hAnsi="仿宋" w:eastAsia="仿宋" w:cs="仿宋_GB2312"/>
          <w:kern w:val="0"/>
          <w:sz w:val="32"/>
          <w:szCs w:val="32"/>
        </w:rPr>
        <w:t>0</w:t>
      </w:r>
      <w:r>
        <w:rPr>
          <w:rFonts w:hint="eastAsia" w:ascii="仿宋" w:hAnsi="仿宋" w:eastAsia="仿宋"/>
          <w:sz w:val="32"/>
          <w:szCs w:val="32"/>
        </w:rPr>
        <w:t>辆。</w:t>
      </w:r>
    </w:p>
    <w:p>
      <w:pPr>
        <w:ind w:firstLine="640" w:firstLineChars="200"/>
        <w:rPr>
          <w:rFonts w:ascii="仿宋" w:hAnsi="仿宋" w:eastAsia="仿宋" w:cs="仿宋_GB2312"/>
          <w:kern w:val="0"/>
          <w:sz w:val="32"/>
          <w:szCs w:val="32"/>
        </w:rPr>
      </w:pPr>
    </w:p>
    <w:p>
      <w:pPr>
        <w:widowControl/>
        <w:jc w:val="left"/>
        <w:rPr>
          <w:rFonts w:asciiTheme="majorEastAsia" w:hAnsiTheme="majorEastAsia" w:eastAsiaTheme="majorEastAsia"/>
          <w:b/>
          <w:sz w:val="40"/>
        </w:rPr>
        <w:sectPr>
          <w:pgSz w:w="11906" w:h="16838"/>
          <w:pgMar w:top="1440" w:right="1800" w:bottom="1440" w:left="1800" w:header="851" w:footer="992" w:gutter="0"/>
          <w:cols w:space="720" w:num="1"/>
          <w:docGrid w:type="lines" w:linePitch="312" w:charSpace="0"/>
        </w:sectPr>
      </w:pPr>
    </w:p>
    <w:p>
      <w:pPr>
        <w:jc w:val="center"/>
        <w:rPr>
          <w:rFonts w:ascii="黑体" w:hAnsi="黑体" w:eastAsia="黑体"/>
          <w:sz w:val="56"/>
        </w:rPr>
      </w:pPr>
    </w:p>
    <w:p>
      <w:pPr>
        <w:jc w:val="center"/>
        <w:rPr>
          <w:rFonts w:ascii="黑体" w:hAnsi="黑体" w:eastAsia="黑体"/>
          <w:sz w:val="56"/>
        </w:rPr>
      </w:pPr>
    </w:p>
    <w:p>
      <w:pPr>
        <w:jc w:val="center"/>
        <w:rPr>
          <w:rFonts w:ascii="黑体" w:hAnsi="黑体" w:eastAsia="黑体"/>
          <w:sz w:val="56"/>
        </w:rPr>
      </w:pPr>
    </w:p>
    <w:p>
      <w:pPr>
        <w:jc w:val="center"/>
        <w:rPr>
          <w:rFonts w:ascii="黑体" w:hAnsi="黑体" w:eastAsia="黑体"/>
          <w:sz w:val="56"/>
        </w:rPr>
      </w:pPr>
    </w:p>
    <w:p>
      <w:pPr>
        <w:jc w:val="center"/>
        <w:rPr>
          <w:rFonts w:ascii="黑体" w:hAnsi="黑体" w:eastAsia="黑体"/>
          <w:sz w:val="56"/>
        </w:rPr>
      </w:pPr>
    </w:p>
    <w:p>
      <w:pPr>
        <w:jc w:val="left"/>
        <w:rPr>
          <w:rFonts w:ascii="黑体" w:hAnsi="黑体" w:eastAsia="黑体"/>
          <w:sz w:val="56"/>
        </w:rPr>
      </w:pPr>
      <w:r>
        <w:rPr>
          <w:rFonts w:hint="eastAsia" w:ascii="黑体" w:hAnsi="黑体" w:eastAsia="黑体"/>
          <w:sz w:val="56"/>
        </w:rPr>
        <w:t>第四部分</w:t>
      </w:r>
    </w:p>
    <w:p>
      <w:pPr>
        <w:jc w:val="center"/>
        <w:rPr>
          <w:rFonts w:ascii="黑体" w:hAnsi="黑体" w:eastAsia="黑体"/>
          <w:sz w:val="56"/>
        </w:rPr>
      </w:pPr>
      <w:r>
        <w:rPr>
          <w:rFonts w:hint="eastAsia" w:ascii="黑体" w:hAnsi="黑体" w:eastAsia="黑体"/>
          <w:sz w:val="56"/>
        </w:rPr>
        <w:t>名词解释</w:t>
      </w:r>
    </w:p>
    <w:p>
      <w:pPr>
        <w:jc w:val="center"/>
        <w:rPr>
          <w:rFonts w:asciiTheme="majorEastAsia" w:hAnsiTheme="majorEastAsia" w:eastAsiaTheme="majorEastAsia"/>
          <w:b/>
          <w:sz w:val="40"/>
        </w:rPr>
      </w:pPr>
    </w:p>
    <w:p>
      <w:pPr>
        <w:widowControl/>
        <w:spacing w:line="240" w:lineRule="auto"/>
        <w:jc w:val="left"/>
        <w:rPr>
          <w:rFonts w:ascii="仿宋" w:hAnsi="仿宋" w:eastAsia="仿宋" w:cs="仿宋"/>
          <w:color w:val="000000"/>
          <w:kern w:val="0"/>
          <w:sz w:val="32"/>
          <w:szCs w:val="32"/>
        </w:rPr>
        <w:sectPr>
          <w:pgSz w:w="11906" w:h="16838"/>
          <w:pgMar w:top="1440" w:right="1800" w:bottom="1440" w:left="1800" w:header="851" w:footer="992" w:gutter="0"/>
          <w:cols w:space="720" w:num="1"/>
          <w:docGrid w:type="lines" w:linePitch="312" w:charSpace="0"/>
        </w:sectPr>
      </w:pPr>
    </w:p>
    <w:p>
      <w:pPr>
        <w:spacing w:line="600" w:lineRule="exact"/>
        <w:ind w:firstLine="710" w:firstLineChars="221"/>
        <w:rPr>
          <w:rFonts w:ascii="仿宋" w:hAnsi="仿宋" w:eastAsia="仿宋" w:cs="仿宋"/>
          <w:color w:val="000000"/>
          <w:kern w:val="0"/>
          <w:sz w:val="32"/>
          <w:szCs w:val="32"/>
        </w:rPr>
      </w:pPr>
      <w:r>
        <w:rPr>
          <w:rFonts w:hint="eastAsia" w:ascii="仿宋" w:hAnsi="仿宋" w:eastAsia="仿宋" w:cs="仿宋"/>
          <w:b/>
          <w:color w:val="000000"/>
          <w:kern w:val="0"/>
          <w:sz w:val="32"/>
          <w:szCs w:val="32"/>
        </w:rPr>
        <w:t>一、财政拨款收入：</w:t>
      </w:r>
      <w:r>
        <w:rPr>
          <w:rFonts w:hint="eastAsia" w:ascii="仿宋" w:hAnsi="仿宋" w:eastAsia="仿宋" w:cs="仿宋"/>
          <w:color w:val="000000"/>
          <w:kern w:val="0"/>
          <w:sz w:val="32"/>
          <w:szCs w:val="32"/>
        </w:rPr>
        <w:t>指财政当年拨付的资金，包括一般公共预算拨款收入、政府性基金预算拨款收入、国有资本经营预算拨款收入。</w:t>
      </w:r>
    </w:p>
    <w:p>
      <w:pPr>
        <w:spacing w:line="600" w:lineRule="exact"/>
        <w:ind w:firstLine="710" w:firstLineChars="221"/>
        <w:rPr>
          <w:rFonts w:ascii="仿宋" w:hAnsi="仿宋" w:eastAsia="仿宋" w:cs="仿宋"/>
          <w:color w:val="000000"/>
          <w:kern w:val="0"/>
          <w:sz w:val="32"/>
          <w:szCs w:val="32"/>
        </w:rPr>
      </w:pPr>
      <w:r>
        <w:rPr>
          <w:rFonts w:hint="eastAsia" w:ascii="仿宋" w:hAnsi="仿宋" w:eastAsia="仿宋" w:cs="仿宋"/>
          <w:b/>
          <w:color w:val="000000"/>
          <w:kern w:val="0"/>
          <w:sz w:val="32"/>
          <w:szCs w:val="32"/>
        </w:rPr>
        <w:t>二、事业收入：</w:t>
      </w:r>
      <w:r>
        <w:rPr>
          <w:rFonts w:hint="eastAsia" w:ascii="仿宋" w:hAnsi="仿宋" w:eastAsia="仿宋" w:cs="仿宋"/>
          <w:color w:val="000000"/>
          <w:kern w:val="0"/>
          <w:sz w:val="32"/>
          <w:szCs w:val="32"/>
        </w:rPr>
        <w:t>指事业单位开展专业业务活动及辅助活动所取得的收入。</w:t>
      </w:r>
    </w:p>
    <w:p>
      <w:pPr>
        <w:spacing w:line="600" w:lineRule="exact"/>
        <w:ind w:firstLine="710" w:firstLineChars="221"/>
        <w:rPr>
          <w:rFonts w:ascii="仿宋" w:hAnsi="仿宋" w:eastAsia="仿宋" w:cs="仿宋"/>
          <w:color w:val="000000"/>
          <w:kern w:val="0"/>
          <w:sz w:val="32"/>
          <w:szCs w:val="32"/>
        </w:rPr>
      </w:pPr>
      <w:r>
        <w:rPr>
          <w:rFonts w:hint="eastAsia" w:ascii="仿宋" w:hAnsi="仿宋" w:eastAsia="仿宋" w:cs="仿宋"/>
          <w:b/>
          <w:color w:val="000000"/>
          <w:kern w:val="0"/>
          <w:sz w:val="32"/>
          <w:szCs w:val="32"/>
        </w:rPr>
        <w:t>三、事业单位经营收入：</w:t>
      </w:r>
      <w:r>
        <w:rPr>
          <w:rFonts w:hint="eastAsia" w:ascii="仿宋" w:hAnsi="仿宋" w:eastAsia="仿宋" w:cs="仿宋"/>
          <w:color w:val="000000"/>
          <w:kern w:val="0"/>
          <w:sz w:val="32"/>
          <w:szCs w:val="32"/>
        </w:rPr>
        <w:t>指事业单位在专业业务活动及其辅助活动之外开展非独立核算经营活动取得的收入。</w:t>
      </w:r>
    </w:p>
    <w:p>
      <w:pPr>
        <w:spacing w:line="600" w:lineRule="exact"/>
        <w:ind w:firstLine="710" w:firstLineChars="221"/>
        <w:rPr>
          <w:rFonts w:ascii="仿宋" w:hAnsi="仿宋" w:eastAsia="仿宋" w:cs="仿宋"/>
          <w:color w:val="000000"/>
          <w:kern w:val="0"/>
          <w:sz w:val="32"/>
          <w:szCs w:val="32"/>
        </w:rPr>
      </w:pPr>
      <w:r>
        <w:rPr>
          <w:rFonts w:hint="eastAsia" w:ascii="仿宋" w:hAnsi="仿宋" w:eastAsia="仿宋" w:cs="仿宋"/>
          <w:b/>
          <w:color w:val="000000"/>
          <w:kern w:val="0"/>
          <w:sz w:val="32"/>
          <w:szCs w:val="32"/>
        </w:rPr>
        <w:t>四、其他收入：</w:t>
      </w:r>
      <w:r>
        <w:rPr>
          <w:rFonts w:hint="eastAsia" w:ascii="仿宋" w:hAnsi="仿宋" w:eastAsia="仿宋" w:cs="仿宋"/>
          <w:color w:val="000000"/>
          <w:kern w:val="0"/>
          <w:sz w:val="32"/>
          <w:szCs w:val="32"/>
        </w:rPr>
        <w:t>指除上述“财政拨款收入”、“事业收入”、“事业单位经营收入”等以外的收入。主要是事业单位固定资产出租收入、存款利息收入等。</w:t>
      </w:r>
    </w:p>
    <w:p>
      <w:pPr>
        <w:spacing w:line="600" w:lineRule="exact"/>
        <w:ind w:firstLine="643" w:firstLineChars="200"/>
        <w:rPr>
          <w:rFonts w:ascii="仿宋" w:hAnsi="仿宋" w:eastAsia="仿宋" w:cs="仿宋"/>
          <w:color w:val="000000"/>
          <w:kern w:val="0"/>
          <w:sz w:val="32"/>
          <w:szCs w:val="32"/>
        </w:rPr>
      </w:pPr>
      <w:r>
        <w:rPr>
          <w:rFonts w:hint="eastAsia" w:ascii="仿宋" w:hAnsi="仿宋" w:eastAsia="仿宋" w:cs="仿宋"/>
          <w:b/>
          <w:color w:val="000000"/>
          <w:kern w:val="0"/>
          <w:sz w:val="32"/>
          <w:szCs w:val="32"/>
        </w:rPr>
        <w:t>五、结转结余资金：</w:t>
      </w:r>
      <w:r>
        <w:rPr>
          <w:rFonts w:hint="eastAsia" w:ascii="仿宋" w:hAnsi="仿宋" w:eastAsia="仿宋" w:cs="仿宋"/>
          <w:color w:val="000000"/>
          <w:kern w:val="0"/>
          <w:sz w:val="32"/>
          <w:szCs w:val="32"/>
        </w:rPr>
        <w:t>指以前年度尚未完成、结转到本年仍按原规定用途继续使用的资金，或项目已完成等产生的结余资金。</w:t>
      </w:r>
    </w:p>
    <w:p>
      <w:pPr>
        <w:pStyle w:val="13"/>
        <w:spacing w:line="600" w:lineRule="exact"/>
        <w:ind w:firstLine="640"/>
        <w:rPr>
          <w:rFonts w:hAnsi="仿宋"/>
          <w:sz w:val="32"/>
          <w:szCs w:val="32"/>
        </w:rPr>
      </w:pPr>
      <w:r>
        <w:rPr>
          <w:rFonts w:hint="eastAsia" w:hAnsi="仿宋"/>
          <w:b/>
          <w:sz w:val="32"/>
          <w:szCs w:val="32"/>
        </w:rPr>
        <w:t>六、基本支出：</w:t>
      </w:r>
      <w:r>
        <w:rPr>
          <w:rFonts w:hint="eastAsia" w:hAnsi="仿宋"/>
          <w:sz w:val="32"/>
          <w:szCs w:val="32"/>
        </w:rPr>
        <w:t>指为保障机构正常运转、完成日常工作任务而发生的人员支出和公用支出。</w:t>
      </w:r>
    </w:p>
    <w:p>
      <w:pPr>
        <w:pStyle w:val="13"/>
        <w:spacing w:line="600" w:lineRule="exact"/>
        <w:ind w:firstLine="640"/>
        <w:rPr>
          <w:rFonts w:hAnsi="仿宋"/>
          <w:sz w:val="32"/>
          <w:szCs w:val="32"/>
        </w:rPr>
      </w:pPr>
      <w:r>
        <w:rPr>
          <w:rFonts w:hint="eastAsia" w:hAnsi="仿宋"/>
          <w:b/>
          <w:sz w:val="32"/>
          <w:szCs w:val="32"/>
        </w:rPr>
        <w:t>七、项目支出：</w:t>
      </w:r>
      <w:r>
        <w:rPr>
          <w:rFonts w:hint="eastAsia" w:hAnsi="仿宋"/>
          <w:sz w:val="32"/>
          <w:szCs w:val="32"/>
        </w:rPr>
        <w:t>指在基本支出之外为完成特定行政任务或事业发展目标所发生的支出。</w:t>
      </w:r>
    </w:p>
    <w:p>
      <w:pPr>
        <w:pStyle w:val="13"/>
        <w:spacing w:line="600" w:lineRule="exact"/>
        <w:ind w:firstLine="640"/>
        <w:rPr>
          <w:rFonts w:hAnsi="仿宋"/>
          <w:sz w:val="32"/>
          <w:szCs w:val="32"/>
        </w:rPr>
      </w:pPr>
      <w:r>
        <w:rPr>
          <w:rFonts w:hint="eastAsia" w:hAnsi="仿宋"/>
          <w:b/>
          <w:sz w:val="32"/>
          <w:szCs w:val="32"/>
        </w:rPr>
        <w:t>八、事业单位经营支出：</w:t>
      </w:r>
      <w:r>
        <w:rPr>
          <w:rFonts w:hint="eastAsia" w:hAnsi="仿宋"/>
          <w:sz w:val="32"/>
          <w:szCs w:val="32"/>
        </w:rPr>
        <w:t>指事业单位在专业业务活动及其辅助活动之外开展非独立核算经营活动发生的支出。</w:t>
      </w:r>
    </w:p>
    <w:p>
      <w:pPr>
        <w:pStyle w:val="13"/>
        <w:spacing w:line="600" w:lineRule="exact"/>
        <w:ind w:firstLine="640"/>
        <w:rPr>
          <w:rFonts w:hAnsi="仿宋"/>
          <w:sz w:val="32"/>
          <w:szCs w:val="32"/>
        </w:rPr>
      </w:pPr>
      <w:r>
        <w:rPr>
          <w:rFonts w:hint="eastAsia" w:hAnsi="仿宋"/>
          <w:b/>
          <w:sz w:val="32"/>
          <w:szCs w:val="32"/>
        </w:rPr>
        <w:t>九、上缴上级支出：</w:t>
      </w:r>
      <w:r>
        <w:rPr>
          <w:rFonts w:hint="eastAsia" w:hAnsi="仿宋"/>
          <w:sz w:val="32"/>
          <w:szCs w:val="32"/>
        </w:rPr>
        <w:t>指下级单位上缴上级的支出。</w:t>
      </w:r>
    </w:p>
    <w:p>
      <w:pPr>
        <w:pStyle w:val="13"/>
        <w:spacing w:line="600" w:lineRule="exact"/>
        <w:ind w:firstLine="640"/>
        <w:rPr>
          <w:rFonts w:hAnsi="仿宋"/>
          <w:sz w:val="32"/>
          <w:szCs w:val="32"/>
        </w:rPr>
      </w:pPr>
      <w:r>
        <w:rPr>
          <w:rFonts w:hint="eastAsia" w:hAnsi="仿宋"/>
          <w:b/>
          <w:sz w:val="32"/>
          <w:szCs w:val="32"/>
        </w:rPr>
        <w:t>十、对附属单位补助支出：</w:t>
      </w:r>
      <w:r>
        <w:rPr>
          <w:rFonts w:hint="eastAsia" w:hAnsi="仿宋"/>
          <w:sz w:val="32"/>
          <w:szCs w:val="32"/>
        </w:rPr>
        <w:t>指对下级单位补助发送的支出。</w:t>
      </w:r>
    </w:p>
    <w:p>
      <w:pPr>
        <w:pStyle w:val="13"/>
        <w:spacing w:line="600" w:lineRule="exact"/>
        <w:ind w:firstLine="640"/>
        <w:rPr>
          <w:rFonts w:hAnsi="仿宋"/>
          <w:sz w:val="32"/>
          <w:szCs w:val="32"/>
        </w:rPr>
      </w:pPr>
      <w:r>
        <w:rPr>
          <w:rFonts w:hint="eastAsia" w:hAnsi="仿宋"/>
          <w:b/>
          <w:sz w:val="32"/>
          <w:szCs w:val="32"/>
        </w:rPr>
        <w:t>十一、“三公”经费：</w:t>
      </w:r>
      <w:r>
        <w:rPr>
          <w:rFonts w:hint="eastAsia" w:hAnsi="仿宋"/>
          <w:sz w:val="32"/>
          <w:szCs w:val="32"/>
        </w:rPr>
        <w:t>纳入财政预决算管理的“三公”经费，是指使用财政拨款安排的因公出国（境）费、公务用车购置及运行费和公务接待费。其中，因公出国（境）费反映单位公务出国（境）的国际旅费、国外城市间交通费、住宿费、伙食费、培训费、公杂费等支出；公务用车购置及运行费，指单位公务用车购置支出(含车辆购置税、牌照费)及燃料费、维修费、过桥过路费、保险费、安全奖励费用等支出；公务接待费反映单位按规定开支的各类公务接待（含外宾接待）支出。</w:t>
      </w:r>
    </w:p>
    <w:p>
      <w:pPr>
        <w:ind w:firstLine="643" w:firstLineChars="200"/>
        <w:jc w:val="left"/>
        <w:rPr>
          <w:rFonts w:asciiTheme="majorEastAsia" w:hAnsiTheme="majorEastAsia" w:eastAsiaTheme="majorEastAsia"/>
          <w:b/>
          <w:sz w:val="40"/>
        </w:rPr>
      </w:pPr>
      <w:r>
        <w:rPr>
          <w:rFonts w:hint="eastAsia" w:ascii="仿宋" w:hAnsi="仿宋" w:eastAsia="仿宋"/>
          <w:b/>
          <w:sz w:val="32"/>
          <w:szCs w:val="32"/>
        </w:rPr>
        <w:t>十二、机关运行经费：</w:t>
      </w:r>
      <w:r>
        <w:rPr>
          <w:rFonts w:hint="eastAsia" w:ascii="仿宋" w:hAnsi="仿宋" w:eastAsia="仿宋"/>
          <w:sz w:val="32"/>
          <w:szCs w:val="32"/>
        </w:rPr>
        <w:t>为保障行政单位（包括参照公务员法管理的事业单位）运行用于购买货物和服务的各项资金，包括办公及印刷费、邮电费、差旅费、会议费、福利费、日常维修费、专用材料及一般设备购置费、办公用房水电费、办公用房取暖费、办公用房物业管理费、公务用车运行维护费以及其他费用。</w:t>
      </w:r>
    </w:p>
    <w:p>
      <w:pPr>
        <w:jc w:val="center"/>
      </w:pP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-266700</wp:posOffset>
              </wp:positionV>
              <wp:extent cx="742950" cy="5092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742950" cy="509270"/>
                      </a:xfrm>
                      <a:prstGeom prst="rect">
                        <a:avLst/>
                      </a:prstGeom>
                      <a:noFill/>
                      <a:ln>
                        <a:noFill/>
                      </a:ln>
                    </wps:spPr>
                    <wps:txbx>
                      <w:txbxContent>
                        <w:p>
                          <w:pPr>
                            <w:pStyle w:val="4"/>
                            <w:rPr>
                              <w:rFonts w:asciiTheme="minorEastAsia" w:hAnsiTheme="minorEastAsia" w:cstheme="minorEastAsia"/>
                              <w:sz w:val="28"/>
                              <w:szCs w:val="28"/>
                            </w:rPr>
                          </w:pPr>
                        </w:p>
                        <w:p>
                          <w:pPr>
                            <w:pStyle w:val="4"/>
                            <w:rPr>
                              <w:rFonts w:asciiTheme="minorEastAsia" w:hAnsiTheme="minorEastAsia" w:cstheme="minorEastAsia"/>
                              <w:sz w:val="28"/>
                              <w:szCs w:val="28"/>
                            </w:rPr>
                          </w:pPr>
                          <w:r>
                            <w:rPr>
                              <w:rFonts w:hint="eastAsia" w:asciiTheme="minorEastAsia" w:hAnsiTheme="minorEastAsia" w:cstheme="minorEastAsia"/>
                              <w:sz w:val="28"/>
                              <w:szCs w:val="28"/>
                            </w:rPr>
                            <w:t xml:space="preserve">— </w:t>
                          </w: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asciiTheme="minorEastAsia" w:hAnsiTheme="minorEastAsia" w:cstheme="minorEastAsia"/>
                              <w:sz w:val="28"/>
                              <w:szCs w:val="28"/>
                            </w:rPr>
                            <w:t>3</w:t>
                          </w:r>
                          <w:r>
                            <w:rPr>
                              <w:rFonts w:hint="eastAsia" w:asciiTheme="minorEastAsia" w:hAnsiTheme="minorEastAsia" w:cstheme="minorEastAsia"/>
                              <w:sz w:val="28"/>
                              <w:szCs w:val="28"/>
                            </w:rPr>
                            <w:fldChar w:fldCharType="end"/>
                          </w:r>
                          <w:r>
                            <w:rPr>
                              <w:rFonts w:hint="eastAsia" w:asciiTheme="minorEastAsia" w:hAnsiTheme="minorEastAsia" w:cstheme="minorEastAsia"/>
                              <w:sz w:val="28"/>
                              <w:szCs w:val="28"/>
                            </w:rPr>
                            <w:t>—</w:t>
                          </w:r>
                        </w:p>
                      </w:txbxContent>
                    </wps:txbx>
                    <wps:bodyPr lIns="0" tIns="0" rIns="0" bIns="0" upright="1"/>
                  </wps:wsp>
                </a:graphicData>
              </a:graphic>
            </wp:anchor>
          </w:drawing>
        </mc:Choice>
        <mc:Fallback>
          <w:pict>
            <v:shape id="_x0000_s1026" o:spid="_x0000_s1026" o:spt="202" type="#_x0000_t202" style="position:absolute;left:0pt;margin-top:-21pt;height:40.1pt;width:58.5pt;mso-position-horizontal:outside;mso-position-horizontal-relative:margin;z-index:251659264;mso-width-relative:page;mso-height-relative:page;" filled="f" stroked="f" coordsize="21600,21600" o:gfxdata="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fWMpLWAAAABwEAAA8AAAAAAAAAAQAgAAAAIgAAAGRycy9kb3ducmV2LnhtbFBLAQIUABQA&#10;AAAIAIdO4kC2FZu3uQEAAHEDAAAOAAAAAAAAAAEAIAAAACUBAABkcnMvZTJvRG9jLnhtbFBLBQYA&#10;AAAABgAGAFkBAABQBQAAAAA=&#10;">
              <v:fill on="f" focussize="0,0"/>
              <v:stroke on="f"/>
              <v:imagedata o:title=""/>
              <o:lock v:ext="edit" aspectratio="f"/>
              <v:textbox inset="0mm,0mm,0mm,0mm">
                <w:txbxContent>
                  <w:p>
                    <w:pPr>
                      <w:pStyle w:val="4"/>
                      <w:rPr>
                        <w:rFonts w:asciiTheme="minorEastAsia" w:hAnsiTheme="minorEastAsia" w:cstheme="minorEastAsia"/>
                        <w:sz w:val="28"/>
                        <w:szCs w:val="28"/>
                      </w:rPr>
                    </w:pPr>
                  </w:p>
                  <w:p>
                    <w:pPr>
                      <w:pStyle w:val="4"/>
                      <w:rPr>
                        <w:rFonts w:asciiTheme="minorEastAsia" w:hAnsiTheme="minorEastAsia" w:cstheme="minorEastAsia"/>
                        <w:sz w:val="28"/>
                        <w:szCs w:val="28"/>
                      </w:rPr>
                    </w:pPr>
                    <w:r>
                      <w:rPr>
                        <w:rFonts w:hint="eastAsia" w:asciiTheme="minorEastAsia" w:hAnsiTheme="minorEastAsia" w:cstheme="minorEastAsia"/>
                        <w:sz w:val="28"/>
                        <w:szCs w:val="28"/>
                      </w:rPr>
                      <w:t xml:space="preserve">— </w:t>
                    </w: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asciiTheme="minorEastAsia" w:hAnsiTheme="minorEastAsia" w:cstheme="minorEastAsia"/>
                        <w:sz w:val="28"/>
                        <w:szCs w:val="28"/>
                      </w:rPr>
                      <w:t>3</w:t>
                    </w:r>
                    <w:r>
                      <w:rPr>
                        <w:rFonts w:hint="eastAsia" w:asciiTheme="minorEastAsia" w:hAnsiTheme="minorEastAsia" w:cstheme="minorEastAsia"/>
                        <w:sz w:val="28"/>
                        <w:szCs w:val="28"/>
                      </w:rPr>
                      <w:fldChar w:fldCharType="end"/>
                    </w:r>
                    <w:r>
                      <w:rPr>
                        <w:rFonts w:hint="eastAsia" w:asciiTheme="minorEastAsia" w:hAnsiTheme="minorEastAsia" w:cstheme="minorEastAsia"/>
                        <w:sz w:val="28"/>
                        <w:szCs w:val="28"/>
                      </w:rPr>
                      <w:t>—</w:t>
                    </w:r>
                  </w:p>
                </w:txbxContent>
              </v:textbox>
            </v:shape>
          </w:pict>
        </mc:Fallback>
      </mc:AlternateContent>
    </w:r>
  </w:p>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B5F"/>
    <w:rsid w:val="00094A50"/>
    <w:rsid w:val="000A7E03"/>
    <w:rsid w:val="001757F1"/>
    <w:rsid w:val="001B1D20"/>
    <w:rsid w:val="002A5BB4"/>
    <w:rsid w:val="002C0992"/>
    <w:rsid w:val="002D2E68"/>
    <w:rsid w:val="00327735"/>
    <w:rsid w:val="00406D63"/>
    <w:rsid w:val="004231EF"/>
    <w:rsid w:val="004B32B8"/>
    <w:rsid w:val="00565F3C"/>
    <w:rsid w:val="005B5EEC"/>
    <w:rsid w:val="005C1992"/>
    <w:rsid w:val="006031AB"/>
    <w:rsid w:val="007107DA"/>
    <w:rsid w:val="007A6AB3"/>
    <w:rsid w:val="007B503F"/>
    <w:rsid w:val="0084490D"/>
    <w:rsid w:val="008A6F08"/>
    <w:rsid w:val="008D673F"/>
    <w:rsid w:val="008D7254"/>
    <w:rsid w:val="008F3B5F"/>
    <w:rsid w:val="009121E0"/>
    <w:rsid w:val="00986AEC"/>
    <w:rsid w:val="009958C1"/>
    <w:rsid w:val="009B4794"/>
    <w:rsid w:val="00A83472"/>
    <w:rsid w:val="00A847A3"/>
    <w:rsid w:val="00AC1D1B"/>
    <w:rsid w:val="00AE57BB"/>
    <w:rsid w:val="00B350AD"/>
    <w:rsid w:val="00B56353"/>
    <w:rsid w:val="00C01218"/>
    <w:rsid w:val="00C411FC"/>
    <w:rsid w:val="00CA0DD2"/>
    <w:rsid w:val="00CA2F48"/>
    <w:rsid w:val="00D57F5B"/>
    <w:rsid w:val="00DC5ED1"/>
    <w:rsid w:val="00DD30DF"/>
    <w:rsid w:val="00F0126D"/>
    <w:rsid w:val="00F07554"/>
    <w:rsid w:val="00F36A6D"/>
    <w:rsid w:val="00F462AC"/>
    <w:rsid w:val="00F97DCC"/>
    <w:rsid w:val="00FB2409"/>
    <w:rsid w:val="00FF526C"/>
    <w:rsid w:val="0F9C0A1D"/>
    <w:rsid w:val="175F4FAE"/>
    <w:rsid w:val="4CA70B2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semiHidden/>
    <w:unhideWhenUsed/>
    <w:qFormat/>
    <w:uiPriority w:val="1"/>
    <w:pPr>
      <w:autoSpaceDE w:val="0"/>
      <w:autoSpaceDN w:val="0"/>
      <w:spacing w:line="240" w:lineRule="auto"/>
      <w:jc w:val="left"/>
    </w:pPr>
    <w:rPr>
      <w:rFonts w:ascii="Times New Roman" w:hAnsi="Times New Roman" w:eastAsia="Times New Roman" w:cs="Times New Roman"/>
      <w:kern w:val="0"/>
      <w:sz w:val="20"/>
      <w:szCs w:val="20"/>
      <w:lang w:eastAsia="en-US"/>
    </w:rPr>
  </w:style>
  <w:style w:type="paragraph" w:styleId="3">
    <w:name w:val="Balloon Text"/>
    <w:basedOn w:val="1"/>
    <w:link w:val="11"/>
    <w:semiHidden/>
    <w:unhideWhenUsed/>
    <w:qFormat/>
    <w:uiPriority w:val="99"/>
    <w:pPr>
      <w:spacing w:line="240" w:lineRule="auto"/>
    </w:pPr>
    <w:rPr>
      <w:sz w:val="18"/>
      <w:szCs w:val="18"/>
    </w:rPr>
  </w:style>
  <w:style w:type="paragraph" w:styleId="4">
    <w:name w:val="footer"/>
    <w:basedOn w:val="1"/>
    <w:link w:val="9"/>
    <w:unhideWhenUsed/>
    <w:qFormat/>
    <w:uiPriority w:val="99"/>
    <w:pPr>
      <w:tabs>
        <w:tab w:val="center" w:pos="4153"/>
        <w:tab w:val="right" w:pos="8306"/>
      </w:tabs>
      <w:snapToGrid w:val="0"/>
      <w:spacing w:line="240" w:lineRule="auto"/>
      <w:jc w:val="left"/>
    </w:pPr>
    <w:rPr>
      <w:sz w:val="18"/>
      <w:szCs w:val="18"/>
    </w:rPr>
  </w:style>
  <w:style w:type="paragraph" w:styleId="5">
    <w:name w:val="header"/>
    <w:basedOn w:val="1"/>
    <w:link w:val="8"/>
    <w:semiHidden/>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8">
    <w:name w:val="页眉 Char"/>
    <w:basedOn w:val="7"/>
    <w:link w:val="5"/>
    <w:semiHidden/>
    <w:qFormat/>
    <w:uiPriority w:val="99"/>
    <w:rPr>
      <w:sz w:val="18"/>
      <w:szCs w:val="18"/>
    </w:rPr>
  </w:style>
  <w:style w:type="character" w:customStyle="1" w:styleId="9">
    <w:name w:val="页脚 Char"/>
    <w:basedOn w:val="7"/>
    <w:link w:val="4"/>
    <w:qFormat/>
    <w:uiPriority w:val="99"/>
    <w:rPr>
      <w:sz w:val="18"/>
      <w:szCs w:val="18"/>
    </w:rPr>
  </w:style>
  <w:style w:type="character" w:customStyle="1" w:styleId="10">
    <w:name w:val="正文文本 Char"/>
    <w:basedOn w:val="7"/>
    <w:link w:val="2"/>
    <w:semiHidden/>
    <w:qFormat/>
    <w:uiPriority w:val="1"/>
    <w:rPr>
      <w:rFonts w:ascii="Times New Roman" w:hAnsi="Times New Roman" w:eastAsia="Times New Roman" w:cs="Times New Roman"/>
      <w:kern w:val="0"/>
      <w:sz w:val="20"/>
      <w:szCs w:val="20"/>
      <w:lang w:eastAsia="en-US"/>
    </w:rPr>
  </w:style>
  <w:style w:type="character" w:customStyle="1" w:styleId="11">
    <w:name w:val="批注框文本 Char"/>
    <w:basedOn w:val="7"/>
    <w:link w:val="3"/>
    <w:semiHidden/>
    <w:qFormat/>
    <w:uiPriority w:val="99"/>
    <w:rPr>
      <w:sz w:val="18"/>
      <w:szCs w:val="18"/>
    </w:rPr>
  </w:style>
  <w:style w:type="paragraph" w:styleId="12">
    <w:name w:val="List Paragraph"/>
    <w:basedOn w:val="1"/>
    <w:qFormat/>
    <w:uiPriority w:val="99"/>
    <w:pPr>
      <w:ind w:firstLine="420" w:firstLineChars="200"/>
    </w:pPr>
  </w:style>
  <w:style w:type="paragraph" w:customStyle="1" w:styleId="13">
    <w:name w:val="Default"/>
    <w:qFormat/>
    <w:uiPriority w:val="0"/>
    <w:pPr>
      <w:widowControl w:val="0"/>
      <w:autoSpaceDE w:val="0"/>
      <w:autoSpaceDN w:val="0"/>
      <w:adjustRightInd w:val="0"/>
    </w:pPr>
    <w:rPr>
      <w:rFonts w:ascii="仿宋" w:hAnsi="Calibri" w:eastAsia="仿宋" w:cs="仿宋"/>
      <w:color w:val="000000"/>
      <w:sz w:val="24"/>
      <w:szCs w:val="24"/>
      <w:lang w:val="en-US" w:eastAsia="zh-CN" w:bidi="ar-SA"/>
    </w:rPr>
  </w:style>
  <w:style w:type="paragraph" w:customStyle="1" w:styleId="14">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88A75F-F650-463E-B5EA-4C20019BBD9D}">
  <ds:schemaRefs/>
</ds:datastoreItem>
</file>

<file path=docProps/app.xml><?xml version="1.0" encoding="utf-8"?>
<Properties xmlns="http://schemas.openxmlformats.org/officeDocument/2006/extended-properties" xmlns:vt="http://schemas.openxmlformats.org/officeDocument/2006/docPropsVTypes">
  <Template>Normal</Template>
  <Pages>1</Pages>
  <Words>1705</Words>
  <Characters>9722</Characters>
  <Lines>81</Lines>
  <Paragraphs>22</Paragraphs>
  <TotalTime>30</TotalTime>
  <ScaleCrop>false</ScaleCrop>
  <LinksUpToDate>false</LinksUpToDate>
  <CharactersWithSpaces>11405</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2022-01-20T01:41:00Z</dcterms:created>
  <dc:creator>hp</dc:creator>
  <cp:lastModifiedBy>Administrator</cp:lastModifiedBy>
  <cp:lastPrinted>2022-01-27T02:50:00Z</cp:lastPrinted>
  <dcterms:modified xsi:type="dcterms:W3CDTF">2022-01-28T03:22:00Z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F496065586EA4E80AE06F5650E59A280</vt:lpwstr>
  </property>
</Properties>
</file>