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/>
        <w:textAlignment w:val="auto"/>
        <w:rPr>
          <w:rFonts w:hint="eastAsia" w:ascii="黑体" w:hAnsi="黑体" w:eastAsia="黑体" w:cs="黑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pacing w:val="-6"/>
          <w:sz w:val="32"/>
          <w:szCs w:val="32"/>
          <w:lang w:val="en-US" w:eastAsia="zh-CN"/>
        </w:rPr>
        <w:t>附件6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pacing w:val="-6"/>
          <w:sz w:val="44"/>
          <w:szCs w:val="4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pacing w:val="-6"/>
          <w:sz w:val="44"/>
          <w:szCs w:val="44"/>
          <w:lang w:val="en-US" w:eastAsia="zh-CN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b w:val="0"/>
          <w:bCs w:val="0"/>
          <w:spacing w:val="-6"/>
          <w:sz w:val="44"/>
          <w:szCs w:val="44"/>
          <w:lang w:val="en-US" w:eastAsia="zh-CN"/>
        </w:rPr>
        <w:t>推动老字号创新发展奖励申报指南</w:t>
      </w:r>
      <w:bookmarkEnd w:id="0"/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pacing w:val="-6"/>
          <w:sz w:val="44"/>
          <w:szCs w:val="4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16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pacing w:val="-6"/>
          <w:sz w:val="32"/>
          <w:szCs w:val="32"/>
          <w:lang w:val="en-US" w:eastAsia="zh-CN"/>
        </w:rPr>
        <w:t>一、支持方向和支持标准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16" w:firstLineChars="200"/>
        <w:jc w:val="both"/>
        <w:textAlignment w:val="auto"/>
        <w:rPr>
          <w:rFonts w:hint="eastAsia" w:ascii="楷体_GB2312" w:hAnsi="楷体_GB2312" w:eastAsia="楷体_GB2312" w:cs="楷体_GB2312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pacing w:val="-6"/>
          <w:sz w:val="32"/>
          <w:szCs w:val="32"/>
          <w:lang w:val="en-US" w:eastAsia="zh-CN"/>
        </w:rPr>
        <w:t>（一）支持方向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16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pacing w:val="-6"/>
          <w:sz w:val="32"/>
          <w:szCs w:val="32"/>
          <w:lang w:val="en-US" w:eastAsia="zh-CN"/>
        </w:rPr>
        <w:t>支持我区开展老字号保护发展及申报“中华老字号”相关工作，推动老字号企业创新产品服务，促进老字号集聚发展，开展“老字号嘉年华”系列活动及形式多样的宣传活动，支持老字号企业参加专业展会，打造线上线下“老字号馆”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616" w:firstLineChars="200"/>
        <w:jc w:val="both"/>
        <w:textAlignment w:val="auto"/>
        <w:rPr>
          <w:rFonts w:hint="eastAsia" w:ascii="楷体_GB2312" w:hAnsi="楷体_GB2312" w:eastAsia="楷体_GB2312" w:cs="楷体_GB2312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pacing w:val="-6"/>
          <w:sz w:val="32"/>
          <w:szCs w:val="32"/>
          <w:lang w:val="en-US" w:eastAsia="zh-CN"/>
        </w:rPr>
        <w:t>支持标准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给予参加专业展会企业展位费用补助；开展</w:t>
      </w:r>
      <w:r>
        <w:rPr>
          <w:rFonts w:hint="eastAsia" w:ascii="仿宋_GB2312" w:hAnsi="仿宋_GB2312" w:eastAsia="仿宋_GB2312" w:cs="仿宋_GB2312"/>
          <w:b w:val="0"/>
          <w:bCs w:val="0"/>
          <w:spacing w:val="-6"/>
          <w:sz w:val="32"/>
          <w:szCs w:val="32"/>
          <w:highlight w:val="none"/>
          <w:lang w:val="en-US" w:eastAsia="zh-CN"/>
        </w:rPr>
        <w:t>“老字号嘉年华”系列活动及形式多样的宣传活动的相关费用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按不高于实际发生额50%予以补助，单家企业（单位）全年最高不超过20万元补助。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二、申报条件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（一）</w:t>
      </w:r>
      <w:r>
        <w:rPr>
          <w:rFonts w:ascii="仿宋_GB2312" w:eastAsia="仿宋_GB2312"/>
          <w:color w:val="auto"/>
          <w:sz w:val="32"/>
          <w:szCs w:val="32"/>
        </w:rPr>
        <w:t>在实验区</w:t>
      </w:r>
      <w:r>
        <w:rPr>
          <w:rFonts w:hint="eastAsia" w:ascii="仿宋_GB2312" w:eastAsia="仿宋_GB2312"/>
          <w:color w:val="auto"/>
          <w:sz w:val="32"/>
          <w:szCs w:val="32"/>
        </w:rPr>
        <w:t>登记</w:t>
      </w:r>
      <w:r>
        <w:rPr>
          <w:rFonts w:ascii="仿宋_GB2312" w:eastAsia="仿宋_GB2312"/>
          <w:color w:val="auto"/>
          <w:sz w:val="32"/>
          <w:szCs w:val="32"/>
        </w:rPr>
        <w:t>注册</w:t>
      </w:r>
      <w:r>
        <w:rPr>
          <w:rFonts w:hint="eastAsia" w:ascii="仿宋_GB2312" w:eastAsia="仿宋_GB2312"/>
          <w:color w:val="auto"/>
          <w:sz w:val="32"/>
          <w:szCs w:val="32"/>
        </w:rPr>
        <w:t>、</w:t>
      </w:r>
      <w:r>
        <w:rPr>
          <w:rFonts w:ascii="仿宋_GB2312" w:eastAsia="仿宋_GB2312"/>
          <w:color w:val="auto"/>
          <w:sz w:val="32"/>
          <w:szCs w:val="32"/>
        </w:rPr>
        <w:t>拥有独立法人资格的企业</w:t>
      </w:r>
      <w:r>
        <w:rPr>
          <w:rFonts w:hint="eastAsia" w:ascii="仿宋_GB2312" w:eastAsia="仿宋_GB2312"/>
          <w:color w:val="auto"/>
          <w:sz w:val="32"/>
          <w:szCs w:val="32"/>
        </w:rPr>
        <w:t>或行业协会。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（二）申报单位在申报截止日之前未在“信用中国（福建）”“国家企业信用信息公示系统”网站上查询到“失信”记录。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584" w:firstLineChars="200"/>
        <w:textAlignment w:val="auto"/>
        <w:rPr>
          <w:rFonts w:ascii="仿宋_GB2312" w:eastAsia="仿宋_GB2312"/>
          <w:color w:val="auto"/>
          <w:spacing w:val="-14"/>
          <w:sz w:val="32"/>
          <w:szCs w:val="32"/>
        </w:rPr>
      </w:pPr>
      <w:r>
        <w:rPr>
          <w:rFonts w:hint="eastAsia" w:ascii="仿宋_GB2312" w:eastAsia="仿宋_GB2312"/>
          <w:color w:val="auto"/>
          <w:spacing w:val="-14"/>
          <w:sz w:val="32"/>
          <w:szCs w:val="32"/>
        </w:rPr>
        <w:t>（三）项目支持时间为2</w:t>
      </w:r>
      <w:r>
        <w:rPr>
          <w:rFonts w:ascii="仿宋_GB2312" w:eastAsia="仿宋_GB2312"/>
          <w:color w:val="auto"/>
          <w:spacing w:val="-14"/>
          <w:sz w:val="32"/>
          <w:szCs w:val="32"/>
        </w:rPr>
        <w:t>02</w:t>
      </w:r>
      <w:r>
        <w:rPr>
          <w:rFonts w:hint="eastAsia" w:ascii="仿宋_GB2312" w:eastAsia="仿宋_GB2312"/>
          <w:color w:val="auto"/>
          <w:spacing w:val="-14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color w:val="auto"/>
          <w:spacing w:val="-14"/>
          <w:sz w:val="32"/>
          <w:szCs w:val="32"/>
        </w:rPr>
        <w:t>年</w:t>
      </w:r>
      <w:r>
        <w:rPr>
          <w:rFonts w:hint="eastAsia" w:ascii="仿宋_GB2312" w:eastAsia="仿宋_GB2312"/>
          <w:color w:val="auto"/>
          <w:spacing w:val="-14"/>
          <w:sz w:val="32"/>
          <w:szCs w:val="32"/>
          <w:lang w:val="en-US" w:eastAsia="zh-CN"/>
        </w:rPr>
        <w:t>10</w:t>
      </w:r>
      <w:r>
        <w:rPr>
          <w:rFonts w:hint="eastAsia" w:ascii="仿宋_GB2312" w:eastAsia="仿宋_GB2312"/>
          <w:color w:val="auto"/>
          <w:spacing w:val="-14"/>
          <w:sz w:val="32"/>
          <w:szCs w:val="32"/>
        </w:rPr>
        <w:t>月1日至2</w:t>
      </w:r>
      <w:r>
        <w:rPr>
          <w:rFonts w:ascii="仿宋_GB2312" w:eastAsia="仿宋_GB2312"/>
          <w:color w:val="auto"/>
          <w:spacing w:val="-14"/>
          <w:sz w:val="32"/>
          <w:szCs w:val="32"/>
        </w:rPr>
        <w:t>02</w:t>
      </w:r>
      <w:r>
        <w:rPr>
          <w:rFonts w:hint="eastAsia" w:ascii="仿宋_GB2312" w:eastAsia="仿宋_GB2312"/>
          <w:color w:val="auto"/>
          <w:spacing w:val="-14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color w:val="auto"/>
          <w:spacing w:val="-14"/>
          <w:sz w:val="32"/>
          <w:szCs w:val="32"/>
        </w:rPr>
        <w:t>年</w:t>
      </w:r>
      <w:r>
        <w:rPr>
          <w:rFonts w:hint="eastAsia" w:ascii="仿宋_GB2312" w:eastAsia="仿宋_GB2312"/>
          <w:color w:val="auto"/>
          <w:spacing w:val="-14"/>
          <w:sz w:val="32"/>
          <w:szCs w:val="32"/>
          <w:lang w:val="en-US" w:eastAsia="zh-CN"/>
        </w:rPr>
        <w:t>9</w:t>
      </w:r>
      <w:r>
        <w:rPr>
          <w:rFonts w:hint="eastAsia" w:ascii="仿宋_GB2312" w:eastAsia="仿宋_GB2312"/>
          <w:color w:val="auto"/>
          <w:spacing w:val="-14"/>
          <w:sz w:val="32"/>
          <w:szCs w:val="32"/>
        </w:rPr>
        <w:t>月</w:t>
      </w:r>
      <w:r>
        <w:rPr>
          <w:rFonts w:hint="eastAsia" w:ascii="仿宋_GB2312" w:eastAsia="仿宋_GB2312"/>
          <w:color w:val="auto"/>
          <w:spacing w:val="-14"/>
          <w:sz w:val="32"/>
          <w:szCs w:val="32"/>
          <w:lang w:val="en-US" w:eastAsia="zh-CN"/>
        </w:rPr>
        <w:t>30</w:t>
      </w:r>
      <w:r>
        <w:rPr>
          <w:rFonts w:hint="eastAsia" w:ascii="仿宋_GB2312" w:eastAsia="仿宋_GB2312"/>
          <w:color w:val="auto"/>
          <w:spacing w:val="-14"/>
          <w:sz w:val="32"/>
          <w:szCs w:val="32"/>
        </w:rPr>
        <w:t>日。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三、申报材料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（一）省级商务发展资金（因素法）申请表（原件，详见附件8）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二</w:t>
      </w:r>
      <w:r>
        <w:rPr>
          <w:rFonts w:hint="eastAsia" w:ascii="仿宋_GB2312" w:eastAsia="仿宋_GB2312"/>
          <w:color w:val="auto"/>
          <w:sz w:val="32"/>
          <w:szCs w:val="32"/>
        </w:rPr>
        <w:t>）法人代表、经办人身份证复印件；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三</w:t>
      </w:r>
      <w:r>
        <w:rPr>
          <w:rFonts w:hint="eastAsia" w:ascii="仿宋_GB2312" w:eastAsia="仿宋_GB2312"/>
          <w:color w:val="auto"/>
          <w:sz w:val="32"/>
          <w:szCs w:val="32"/>
        </w:rPr>
        <w:t>）在实验区银行机构的开户材料；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_GB2312" w:eastAsia="仿宋_GB2312"/>
          <w:color w:val="auto"/>
          <w:sz w:val="32"/>
          <w:szCs w:val="32"/>
          <w:lang w:eastAsia="zh-CN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四</w:t>
      </w:r>
      <w:r>
        <w:rPr>
          <w:rFonts w:hint="eastAsia" w:ascii="仿宋_GB2312" w:eastAsia="仿宋_GB2312"/>
          <w:color w:val="auto"/>
          <w:sz w:val="32"/>
          <w:szCs w:val="32"/>
        </w:rPr>
        <w:t>）申报单位在“信用中国（福建）”、国家企业信用信息公示系统网站上下载的信用信息报告</w:t>
      </w:r>
      <w:r>
        <w:rPr>
          <w:rFonts w:hint="eastAsia" w:ascii="仿宋_GB2312"/>
          <w:color w:val="auto"/>
          <w:sz w:val="32"/>
          <w:szCs w:val="32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五</w:t>
      </w:r>
      <w:r>
        <w:rPr>
          <w:rFonts w:hint="eastAsia" w:ascii="仿宋_GB2312" w:eastAsia="仿宋_GB2312"/>
          <w:color w:val="auto"/>
          <w:sz w:val="32"/>
          <w:szCs w:val="32"/>
        </w:rPr>
        <w:t>）活动实施方案（至少提前3个工作日向我局报备，方案内容包括但不限于活动介绍、亮点、活动内容等）；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六</w:t>
      </w:r>
      <w:r>
        <w:rPr>
          <w:rFonts w:hint="eastAsia" w:ascii="仿宋_GB2312" w:eastAsia="仿宋_GB2312"/>
          <w:color w:val="auto"/>
          <w:sz w:val="32"/>
          <w:szCs w:val="32"/>
        </w:rPr>
        <w:t>）</w:t>
      </w:r>
      <w:r>
        <w:rPr>
          <w:rFonts w:ascii="仿宋_GB2312" w:eastAsia="仿宋_GB2312"/>
          <w:color w:val="auto"/>
          <w:sz w:val="32"/>
          <w:szCs w:val="32"/>
        </w:rPr>
        <w:t>活动投资总金额相关发票、合同、第三方审计报告（复印件，需带原件进行审核）；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七</w:t>
      </w:r>
      <w:r>
        <w:rPr>
          <w:rFonts w:hint="eastAsia" w:ascii="仿宋_GB2312" w:eastAsia="仿宋_GB2312"/>
          <w:color w:val="auto"/>
          <w:sz w:val="32"/>
          <w:szCs w:val="32"/>
        </w:rPr>
        <w:t>）活动现场照片、租赁合同等相关证明材料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；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参加福品博览会的需提供展位合同、展位费用发票、现场参展照片等材料</w:t>
      </w:r>
      <w:r>
        <w:rPr>
          <w:rFonts w:hint="eastAsia" w:ascii="仿宋_GB2312" w:eastAsia="仿宋_GB2312"/>
          <w:color w:val="auto"/>
          <w:sz w:val="3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八</w:t>
      </w:r>
      <w:r>
        <w:rPr>
          <w:rFonts w:hint="eastAsia" w:ascii="仿宋_GB2312" w:eastAsia="仿宋_GB2312"/>
          <w:color w:val="auto"/>
          <w:sz w:val="32"/>
          <w:szCs w:val="32"/>
        </w:rPr>
        <w:t>）</w:t>
      </w:r>
      <w:r>
        <w:rPr>
          <w:rFonts w:ascii="仿宋_GB2312" w:eastAsia="仿宋_GB2312"/>
          <w:color w:val="auto"/>
          <w:sz w:val="32"/>
          <w:szCs w:val="32"/>
        </w:rPr>
        <w:t>活动总结报告（原件，包括但不限于现场图片（视频）、相关宣传材料，活动参与人数（包含线上+线下），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推动福品推介情况</w:t>
      </w:r>
      <w:r>
        <w:rPr>
          <w:rFonts w:ascii="仿宋_GB2312" w:eastAsia="仿宋_GB2312"/>
          <w:color w:val="auto"/>
          <w:sz w:val="32"/>
          <w:szCs w:val="32"/>
        </w:rPr>
        <w:t>等）</w:t>
      </w:r>
      <w:r>
        <w:rPr>
          <w:rFonts w:hint="eastAsia" w:ascii="仿宋_GB2312" w:eastAsia="仿宋_GB2312"/>
          <w:color w:val="auto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黑体" w:hAnsi="黑体" w:eastAsia="黑体"/>
          <w:color w:val="auto"/>
          <w:sz w:val="32"/>
          <w:szCs w:val="32"/>
        </w:rPr>
      </w:pPr>
      <w:r>
        <w:rPr>
          <w:rFonts w:hint="eastAsia" w:ascii="黑体" w:hAnsi="黑体" w:eastAsia="黑体"/>
          <w:color w:val="auto"/>
          <w:sz w:val="32"/>
          <w:szCs w:val="32"/>
        </w:rPr>
        <w:t>四、申报截止日期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default" w:ascii="仿宋_GB2312" w:eastAsia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活动结束一个月内。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黑体" w:hAnsi="黑体" w:eastAsia="黑体"/>
          <w:color w:val="auto"/>
          <w:sz w:val="32"/>
          <w:szCs w:val="32"/>
        </w:rPr>
      </w:pPr>
      <w:r>
        <w:rPr>
          <w:rFonts w:hint="eastAsia" w:ascii="黑体" w:hAnsi="黑体" w:eastAsia="黑体"/>
          <w:color w:val="auto"/>
          <w:sz w:val="32"/>
          <w:szCs w:val="32"/>
          <w:lang w:val="en-US" w:eastAsia="zh-CN"/>
        </w:rPr>
        <w:t>五、</w:t>
      </w:r>
      <w:r>
        <w:rPr>
          <w:rFonts w:hint="eastAsia" w:ascii="黑体" w:hAnsi="黑体" w:eastAsia="黑体"/>
          <w:color w:val="auto"/>
          <w:sz w:val="32"/>
          <w:szCs w:val="32"/>
        </w:rPr>
        <w:t>联系方式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联系人：陈丹珊，联系方式：0591-23163119。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textAlignment w:val="auto"/>
      </w:pPr>
    </w:p>
    <w:sectPr>
      <w:footerReference r:id="rId3" w:type="default"/>
      <w:pgSz w:w="11906" w:h="16838"/>
      <w:pgMar w:top="1871" w:right="1531" w:bottom="1871" w:left="153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B3C85FA-B2AF-4571-926D-EEB0B745C1C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38099DCA-2FE6-4032-A7F9-E9A708CE7415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C46D29D2-7F75-456E-9BFE-2F28F5D7DC40}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4" w:fontKey="{7C6FF21B-54BA-446E-A140-A85AD3B51F78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2F7AEF45-436F-4756-BE9A-B647483BDCB0}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947DDB"/>
    <w:multiLevelType w:val="singleLevel"/>
    <w:tmpl w:val="B0947DDB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yZjU1NWNjZTUzY2Q0NDM5MWY4MDlmZTRkNzA5MjUifQ=="/>
  </w:docVars>
  <w:rsids>
    <w:rsidRoot w:val="23262F33"/>
    <w:rsid w:val="2326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qFormat/>
    <w:uiPriority w:val="0"/>
    <w:pPr>
      <w:spacing w:after="120" w:afterAutospacing="0"/>
      <w:ind w:left="420" w:leftChars="20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698</Words>
  <Characters>721</Characters>
  <Lines>0</Lines>
  <Paragraphs>0</Paragraphs>
  <TotalTime>2</TotalTime>
  <ScaleCrop>false</ScaleCrop>
  <LinksUpToDate>false</LinksUpToDate>
  <CharactersWithSpaces>721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2023-06-12T07:20:00Z</dcterms:created>
  <dc:creator>三更</dc:creator>
  <cp:lastModifiedBy>三更</cp:lastModifiedBy>
  <dcterms:modified xsi:type="dcterms:W3CDTF">2023-06-12T07:23:08Z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A1B28B36833044889909DE08F0F22844_11</vt:lpwstr>
  </property>
</Properties>
</file>